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0B94" w14:textId="3D4BDDD1" w:rsidR="00A9204E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8770E0">
        <w:rPr>
          <w:rFonts w:ascii="Arial" w:hAnsi="Arial" w:cs="Arial"/>
          <w:b/>
          <w:bCs/>
          <w:i/>
          <w:iCs/>
          <w:sz w:val="24"/>
          <w:szCs w:val="24"/>
        </w:rPr>
        <w:t>Subject Line: The Future of Advanced Planning in eMoney</w:t>
      </w:r>
    </w:p>
    <w:p w14:paraId="2289657B" w14:textId="0C06EF43" w:rsidR="008770E0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F17C3FD" w14:textId="77777777" w:rsidR="008770E0" w:rsidRPr="008770E0" w:rsidRDefault="008770E0" w:rsidP="008770E0">
      <w:pPr>
        <w:shd w:val="clear" w:color="auto" w:fill="FFFFFF"/>
        <w:spacing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8770E0">
        <w:rPr>
          <w:rFonts w:ascii="Arial" w:eastAsia="Times New Roman" w:hAnsi="Arial" w:cs="Arial"/>
          <w:color w:val="000000"/>
          <w:sz w:val="24"/>
          <w:szCs w:val="24"/>
        </w:rPr>
        <w:t>eMoney's</w:t>
      </w:r>
      <w:proofErr w:type="spellEnd"/>
      <w:r w:rsidRPr="008770E0">
        <w:rPr>
          <w:rFonts w:ascii="Arial" w:eastAsia="Times New Roman" w:hAnsi="Arial" w:cs="Arial"/>
          <w:color w:val="000000"/>
          <w:sz w:val="24"/>
          <w:szCs w:val="24"/>
        </w:rPr>
        <w:t xml:space="preserve"> Advanced Planning capabilities are designed to demonstrate complex, real-world scenarios over a client's entire lifetime through a comprehensive planning solution.</w:t>
      </w:r>
    </w:p>
    <w:p w14:paraId="5DC6B3A0" w14:textId="77777777" w:rsidR="008770E0" w:rsidRPr="008770E0" w:rsidRDefault="008770E0" w:rsidP="008770E0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</w:p>
    <w:p w14:paraId="2AE5DE7D" w14:textId="77777777" w:rsidR="008770E0" w:rsidRPr="008770E0" w:rsidRDefault="008770E0" w:rsidP="008770E0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8770E0">
        <w:rPr>
          <w:rFonts w:ascii="Arial" w:eastAsia="Times New Roman" w:hAnsi="Arial" w:cs="Arial"/>
          <w:color w:val="000000"/>
          <w:sz w:val="24"/>
          <w:szCs w:val="24"/>
        </w:rPr>
        <w:t>eMoney continues to enhance these capabilities so that financial plans can serve as the foundation for all wealth management relationships.  </w:t>
      </w:r>
    </w:p>
    <w:p w14:paraId="4F952153" w14:textId="77777777" w:rsidR="008770E0" w:rsidRPr="008770E0" w:rsidRDefault="008770E0" w:rsidP="008770E0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</w:p>
    <w:p w14:paraId="272C44AC" w14:textId="77777777" w:rsidR="008770E0" w:rsidRPr="008770E0" w:rsidRDefault="008770E0" w:rsidP="008770E0">
      <w:pPr>
        <w:shd w:val="clear" w:color="auto" w:fill="FFFFFF"/>
        <w:spacing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8770E0">
        <w:rPr>
          <w:rFonts w:ascii="Arial" w:eastAsia="Times New Roman" w:hAnsi="Arial" w:cs="Arial"/>
          <w:color w:val="000000"/>
          <w:sz w:val="24"/>
          <w:szCs w:val="24"/>
        </w:rPr>
        <w:t>See how interactive financial planning will be reimagined in eMoney:</w:t>
      </w:r>
    </w:p>
    <w:p w14:paraId="01158D13" w14:textId="0A9CE427" w:rsidR="008770E0" w:rsidRDefault="008770E0">
      <w:pPr>
        <w:rPr>
          <w:rFonts w:ascii="Arial" w:hAnsi="Arial" w:cs="Arial"/>
          <w:sz w:val="24"/>
          <w:szCs w:val="24"/>
        </w:rPr>
      </w:pPr>
    </w:p>
    <w:p w14:paraId="3FE95694" w14:textId="073D9CAC" w:rsidR="008770E0" w:rsidRDefault="008770E0" w:rsidP="008770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Video</w:t>
      </w:r>
    </w:p>
    <w:p w14:paraId="61B0353E" w14:textId="7BB5082E" w:rsidR="008770E0" w:rsidRDefault="008770E0" w:rsidP="008770E0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  <w:r w:rsidRPr="008770E0">
        <w:rPr>
          <w:rFonts w:ascii="Arial" w:hAnsi="Arial" w:cs="Arial"/>
          <w:color w:val="ED7D31" w:themeColor="accent2"/>
          <w:sz w:val="24"/>
          <w:szCs w:val="24"/>
        </w:rPr>
        <w:t>eMoney Note: eMoney Experience Video</w:t>
      </w:r>
    </w:p>
    <w:p w14:paraId="6B07D83A" w14:textId="26FF0B4E" w:rsidR="008770E0" w:rsidRDefault="008770E0" w:rsidP="008770E0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</w:p>
    <w:p w14:paraId="7600459D" w14:textId="34A96F38" w:rsidR="008770E0" w:rsidRDefault="008770E0" w:rsidP="008770E0">
      <w:pPr>
        <w:rPr>
          <w:rFonts w:ascii="Arial" w:hAnsi="Arial" w:cs="Arial"/>
          <w:sz w:val="24"/>
          <w:szCs w:val="24"/>
        </w:rPr>
      </w:pPr>
      <w:r w:rsidRPr="008770E0">
        <w:rPr>
          <w:rFonts w:ascii="Arial" w:hAnsi="Arial" w:cs="Arial"/>
          <w:sz w:val="24"/>
          <w:szCs w:val="24"/>
        </w:rPr>
        <w:t>This future experience is designed so you can scale financial planning, elevate planning capabilities, and track and convey the value you bring to a client relationship over time.</w:t>
      </w:r>
    </w:p>
    <w:p w14:paraId="631C8F9C" w14:textId="59BE2C76" w:rsidR="008770E0" w:rsidRDefault="008770E0" w:rsidP="008770E0">
      <w:pPr>
        <w:rPr>
          <w:rFonts w:ascii="Arial" w:hAnsi="Arial" w:cs="Arial"/>
          <w:sz w:val="24"/>
          <w:szCs w:val="24"/>
        </w:rPr>
      </w:pPr>
    </w:p>
    <w:p w14:paraId="7B1630CF" w14:textId="77777777" w:rsidR="008770E0" w:rsidRPr="008770E0" w:rsidRDefault="008770E0" w:rsidP="008770E0">
      <w:pPr>
        <w:jc w:val="center"/>
        <w:rPr>
          <w:rFonts w:ascii="Arial" w:hAnsi="Arial" w:cs="Arial"/>
          <w:sz w:val="24"/>
          <w:szCs w:val="24"/>
        </w:rPr>
      </w:pPr>
      <w:r w:rsidRPr="008770E0">
        <w:rPr>
          <w:rFonts w:ascii="Arial" w:hAnsi="Arial" w:cs="Arial"/>
          <w:sz w:val="24"/>
          <w:szCs w:val="24"/>
        </w:rPr>
        <w:t xml:space="preserve">See what </w:t>
      </w:r>
      <w:proofErr w:type="spellStart"/>
      <w:r w:rsidRPr="008770E0">
        <w:rPr>
          <w:rFonts w:ascii="Arial" w:hAnsi="Arial" w:cs="Arial"/>
          <w:sz w:val="24"/>
          <w:szCs w:val="24"/>
        </w:rPr>
        <w:t>eMoney's</w:t>
      </w:r>
      <w:proofErr w:type="spellEnd"/>
      <w:r w:rsidRPr="008770E0">
        <w:rPr>
          <w:rFonts w:ascii="Arial" w:hAnsi="Arial" w:cs="Arial"/>
          <w:sz w:val="24"/>
          <w:szCs w:val="24"/>
        </w:rPr>
        <w:t xml:space="preserve"> comprehensive planning solutions can do for you.</w:t>
      </w:r>
    </w:p>
    <w:p w14:paraId="6FBC8E12" w14:textId="393A4B16" w:rsidR="008770E0" w:rsidRDefault="008770E0" w:rsidP="008770E0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8770E0">
        <w:rPr>
          <w:rFonts w:ascii="Arial" w:hAnsi="Arial" w:cs="Arial"/>
          <w:b/>
          <w:bCs/>
          <w:color w:val="5B9BD5" w:themeColor="accent1"/>
          <w:sz w:val="24"/>
          <w:szCs w:val="24"/>
        </w:rPr>
        <w:t>Register for a demo today.</w:t>
      </w:r>
    </w:p>
    <w:p w14:paraId="4394E693" w14:textId="77777777" w:rsidR="008770E0" w:rsidRDefault="008770E0" w:rsidP="008770E0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  <w:r w:rsidRPr="008770E0">
        <w:rPr>
          <w:rFonts w:ascii="Arial" w:hAnsi="Arial" w:cs="Arial"/>
          <w:color w:val="ED7D31" w:themeColor="accent2"/>
          <w:sz w:val="24"/>
          <w:szCs w:val="24"/>
        </w:rPr>
        <w:t>eMoney Note: eMoney Experience Video</w:t>
      </w:r>
    </w:p>
    <w:p w14:paraId="0C5F6AE7" w14:textId="77777777" w:rsidR="008770E0" w:rsidRPr="008770E0" w:rsidRDefault="008770E0" w:rsidP="008770E0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</w:p>
    <w:sectPr w:rsidR="008770E0" w:rsidRPr="0087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E0"/>
    <w:rsid w:val="00645252"/>
    <w:rsid w:val="006D3D74"/>
    <w:rsid w:val="0083569A"/>
    <w:rsid w:val="008770E0"/>
    <w:rsid w:val="00A9204E"/>
    <w:rsid w:val="00CB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D03A"/>
  <w15:chartTrackingRefBased/>
  <w15:docId w15:val="{41D35ECA-C7A1-4F4B-AC4D-425C041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1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3733e776-f509-41fb-b733-10ea7017fb6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9373d4-ce11-46d5-a60e-b4788294242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FD6A48-1AA3-4707-9078-261A70B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DE8BC9-86AD-4897-91B1-A21DC2146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13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1</cp:revision>
  <dcterms:created xsi:type="dcterms:W3CDTF">2020-11-15T19:58:00Z</dcterms:created>
  <dcterms:modified xsi:type="dcterms:W3CDTF">2020-11-15T20:14:00Z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