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4C03566F" w:rsidP="7FB37BA2" w:rsidRDefault="4C03566F" w14:paraId="135CA7F1" w14:textId="100CB6A4">
      <w:pPr>
        <w:pStyle w:val="Heading2"/>
        <w:rPr>
          <w:rFonts w:ascii="Arial" w:hAnsi="Arial" w:eastAsia="Arial" w:cs="Arial"/>
          <w:b w:val="1"/>
          <w:bCs w:val="1"/>
          <w:i w:val="1"/>
          <w:iCs w:val="1"/>
          <w:color w:val="auto"/>
          <w:sz w:val="22"/>
          <w:szCs w:val="22"/>
        </w:rPr>
      </w:pPr>
      <w:r w:rsidRPr="7FB37BA2" w:rsidR="4C03566F">
        <w:rPr>
          <w:rFonts w:ascii="Arial" w:hAnsi="Arial" w:eastAsia="Arial" w:cs="Arial"/>
          <w:b w:val="1"/>
          <w:bCs w:val="1"/>
          <w:i w:val="1"/>
          <w:iCs w:val="1"/>
          <w:color w:val="auto"/>
          <w:sz w:val="22"/>
          <w:szCs w:val="22"/>
        </w:rPr>
        <w:t xml:space="preserve">Subject Line: Deadline for Migration Is Approaching: </w:t>
      </w:r>
      <w:r w:rsidRPr="7FB37BA2" w:rsidR="4C03566F">
        <w:rPr>
          <w:rFonts w:ascii="Arial" w:hAnsi="Arial" w:eastAsia="Arial" w:cs="Arial"/>
          <w:b w:val="1"/>
          <w:bCs w:val="1"/>
          <w:i w:val="1"/>
          <w:iCs w:val="1"/>
          <w:color w:val="00B0F0"/>
          <w:sz w:val="22"/>
          <w:szCs w:val="22"/>
        </w:rPr>
        <w:t>[# Days]</w:t>
      </w:r>
    </w:p>
    <w:p w:rsidR="7FB37BA2" w:rsidP="7FB37BA2" w:rsidRDefault="7FB37BA2" w14:paraId="4111DB42" w14:textId="05E78BCD">
      <w:pPr>
        <w:pStyle w:val="Heading2"/>
      </w:pPr>
    </w:p>
    <w:p w:rsidR="4C03566F" w:rsidP="7FB37BA2" w:rsidRDefault="4C03566F" w14:paraId="007AC18C" w14:textId="12156397">
      <w:pPr>
        <w:pStyle w:val="Normal"/>
        <w:rPr>
          <w:rFonts w:ascii="Arial" w:hAnsi="Arial" w:eastAsia="Arial" w:cs="Arial"/>
        </w:rPr>
      </w:pPr>
      <w:r w:rsidRPr="7FB37BA2" w:rsidR="4C03566F">
        <w:rPr>
          <w:rFonts w:ascii="Arial" w:hAnsi="Arial" w:eastAsia="Arial" w:cs="Arial"/>
          <w:color w:val="00B0F0"/>
        </w:rPr>
        <w:t>[Enterprise]</w:t>
      </w:r>
      <w:r w:rsidRPr="7FB37BA2" w:rsidR="4C03566F">
        <w:rPr>
          <w:rFonts w:ascii="Arial" w:hAnsi="Arial" w:eastAsia="Arial" w:cs="Arial"/>
        </w:rPr>
        <w:t xml:space="preserve"> has partnered with </w:t>
      </w:r>
      <w:proofErr w:type="spellStart"/>
      <w:r w:rsidRPr="7FB37BA2" w:rsidR="4C03566F">
        <w:rPr>
          <w:rFonts w:ascii="Arial" w:hAnsi="Arial" w:eastAsia="Arial" w:cs="Arial"/>
        </w:rPr>
        <w:t>eMoney</w:t>
      </w:r>
      <w:proofErr w:type="spellEnd"/>
      <w:r w:rsidRPr="7FB37BA2" w:rsidR="4C03566F">
        <w:rPr>
          <w:rFonts w:ascii="Arial" w:hAnsi="Arial" w:eastAsia="Arial" w:cs="Arial"/>
        </w:rPr>
        <w:t xml:space="preserve"> Advisor to design an enterprise platform </w:t>
      </w:r>
      <w:r w:rsidRPr="7FB37BA2" w:rsidR="4C03566F">
        <w:rPr>
          <w:rFonts w:ascii="Arial" w:hAnsi="Arial" w:eastAsia="Arial" w:cs="Arial"/>
          <w:b w:val="1"/>
          <w:bCs w:val="1"/>
        </w:rPr>
        <w:t>built for you.</w:t>
      </w:r>
    </w:p>
    <w:p w:rsidR="4C03566F" w:rsidP="7FB37BA2" w:rsidRDefault="4C03566F" w14:paraId="06FA21E7" w14:textId="2035C015">
      <w:pPr>
        <w:pStyle w:val="Normal"/>
        <w:rPr>
          <w:rFonts w:ascii="Arial" w:hAnsi="Arial" w:eastAsia="Arial" w:cs="Arial"/>
          <w:b w:val="0"/>
          <w:bCs w:val="0"/>
        </w:rPr>
      </w:pPr>
      <w:r w:rsidRPr="7FB37BA2" w:rsidR="4C03566F">
        <w:rPr>
          <w:rFonts w:ascii="Arial" w:hAnsi="Arial" w:eastAsia="Arial" w:cs="Arial"/>
          <w:b w:val="0"/>
          <w:bCs w:val="0"/>
        </w:rPr>
        <w:t xml:space="preserve">On </w:t>
      </w:r>
      <w:r w:rsidRPr="7FB37BA2" w:rsidR="4C03566F">
        <w:rPr>
          <w:rFonts w:ascii="Arial" w:hAnsi="Arial" w:eastAsia="Arial" w:cs="Arial"/>
          <w:b w:val="1"/>
          <w:bCs w:val="1"/>
          <w:color w:val="00B0F0"/>
        </w:rPr>
        <w:t>[date]</w:t>
      </w:r>
      <w:r w:rsidRPr="7FB37BA2" w:rsidR="4C03566F">
        <w:rPr>
          <w:rFonts w:ascii="Arial" w:hAnsi="Arial" w:eastAsia="Arial" w:cs="Arial"/>
          <w:b w:val="1"/>
          <w:bCs w:val="1"/>
        </w:rPr>
        <w:t>, the new eMoney enterprise platform will be live!</w:t>
      </w:r>
    </w:p>
    <w:p w:rsidR="4C03566F" w:rsidP="7FB37BA2" w:rsidRDefault="4C03566F" w14:paraId="6984CFA8" w14:textId="542E7F3F">
      <w:pPr>
        <w:pStyle w:val="Normal"/>
        <w:rPr>
          <w:rFonts w:ascii="Arial" w:hAnsi="Arial" w:eastAsia="Arial" w:cs="Arial"/>
          <w:b w:val="0"/>
          <w:bCs w:val="0"/>
        </w:rPr>
      </w:pPr>
      <w:r w:rsidRPr="7FB37BA2" w:rsidR="4C03566F">
        <w:rPr>
          <w:rFonts w:ascii="Arial" w:hAnsi="Arial" w:eastAsia="Arial" w:cs="Arial"/>
          <w:b w:val="1"/>
          <w:bCs w:val="1"/>
          <w:color w:val="0070C0"/>
          <w:u w:val="single"/>
        </w:rPr>
        <w:t>Learn More</w:t>
      </w:r>
      <w:r w:rsidRPr="7FB37BA2" w:rsidR="4C03566F">
        <w:rPr>
          <w:rFonts w:ascii="Arial" w:hAnsi="Arial" w:eastAsia="Arial" w:cs="Arial"/>
          <w:b w:val="0"/>
          <w:bCs w:val="0"/>
        </w:rPr>
        <w:t xml:space="preserve"> </w:t>
      </w:r>
      <w:r w:rsidRPr="7FB37BA2" w:rsidR="4C03566F">
        <w:rPr>
          <w:rFonts w:ascii="Arial" w:hAnsi="Arial" w:eastAsia="Arial" w:cs="Arial"/>
          <w:b w:val="0"/>
          <w:bCs w:val="0"/>
          <w:color w:val="ED7D31" w:themeColor="accent2" w:themeTint="FF" w:themeShade="FF"/>
        </w:rPr>
        <w:t>[eMoney Note: Link to page or content that explains the reason for migration and next steps.]</w:t>
      </w:r>
    </w:p>
    <w:p w:rsidR="4C03566F" w:rsidP="7FB37BA2" w:rsidRDefault="4C03566F" w14:paraId="02FF9E0A" w14:textId="6DCF7229">
      <w:pPr>
        <w:pStyle w:val="Heading1"/>
        <w:jc w:val="center"/>
        <w:rPr>
          <w:rFonts w:ascii="Arial" w:hAnsi="Arial" w:eastAsia="Arial" w:cs="Arial"/>
          <w:b w:val="1"/>
          <w:bCs w:val="1"/>
        </w:rPr>
      </w:pPr>
      <w:r w:rsidRPr="7FB37BA2" w:rsidR="4C03566F">
        <w:rPr>
          <w:rFonts w:ascii="Arial" w:hAnsi="Arial" w:eastAsia="Arial" w:cs="Arial"/>
          <w:b w:val="1"/>
          <w:bCs w:val="1"/>
          <w:color w:val="auto"/>
          <w:sz w:val="22"/>
          <w:szCs w:val="22"/>
        </w:rPr>
        <w:t>What to Expect</w:t>
      </w:r>
    </w:p>
    <w:tbl>
      <w:tblPr>
        <w:tblStyle w:val="TableGrid"/>
        <w:tblW w:w="0" w:type="auto"/>
        <w:tblLayout w:type="fixed"/>
        <w:tblLook w:val="06A0" w:firstRow="1" w:lastRow="0" w:firstColumn="1" w:lastColumn="0" w:noHBand="1" w:noVBand="1"/>
      </w:tblPr>
      <w:tblGrid>
        <w:gridCol w:w="4680"/>
        <w:gridCol w:w="4680"/>
      </w:tblGrid>
      <w:tr w:rsidR="5E92125A" w:rsidTr="7FB37BA2" w14:paraId="6211DCB9" w14:textId="77777777">
        <w:tc>
          <w:tcPr>
            <w:tcW w:w="4680" w:type="dxa"/>
            <w:tcMar/>
          </w:tcPr>
          <w:p w:rsidR="5E92125A" w:rsidP="5E92125A" w:rsidRDefault="5E92125A" w14:paraId="79E3BAAB" w14:textId="2C080330">
            <w:pPr>
              <w:jc w:val="center"/>
              <w:rPr>
                <w:rFonts w:ascii="Arial" w:hAnsi="Arial" w:eastAsia="Arial" w:cs="Arial"/>
                <w:b/>
                <w:bCs/>
              </w:rPr>
            </w:pPr>
            <w:r w:rsidRPr="5E92125A">
              <w:rPr>
                <w:rFonts w:ascii="Arial" w:hAnsi="Arial" w:eastAsia="Arial" w:cs="Arial"/>
                <w:b/>
                <w:bCs/>
              </w:rPr>
              <w:t>Feature 1</w:t>
            </w:r>
          </w:p>
        </w:tc>
        <w:tc>
          <w:tcPr>
            <w:tcW w:w="4680" w:type="dxa"/>
            <w:tcMar/>
          </w:tcPr>
          <w:p w:rsidR="5E92125A" w:rsidP="5E92125A" w:rsidRDefault="5E92125A" w14:paraId="035B16D5" w14:textId="6405EF29">
            <w:pPr>
              <w:jc w:val="center"/>
              <w:rPr>
                <w:rFonts w:ascii="Arial" w:hAnsi="Arial" w:eastAsia="Arial" w:cs="Arial"/>
                <w:b/>
                <w:bCs/>
              </w:rPr>
            </w:pPr>
            <w:r w:rsidRPr="5E92125A">
              <w:rPr>
                <w:rFonts w:ascii="Arial" w:hAnsi="Arial" w:eastAsia="Arial" w:cs="Arial"/>
                <w:b/>
                <w:bCs/>
              </w:rPr>
              <w:t>Feature 2</w:t>
            </w:r>
          </w:p>
        </w:tc>
      </w:tr>
      <w:tr w:rsidR="5E92125A" w:rsidTr="7FB37BA2" w14:paraId="0761F892" w14:textId="77777777">
        <w:tc>
          <w:tcPr>
            <w:tcW w:w="4680" w:type="dxa"/>
            <w:tcMar/>
          </w:tcPr>
          <w:p w:rsidR="5E92125A" w:rsidP="7FB37BA2" w:rsidRDefault="5E92125A" w14:paraId="73F90619" w14:textId="2B20F426" w14:noSpellErr="1">
            <w:pPr>
              <w:rPr>
                <w:rFonts w:ascii="Arial" w:hAnsi="Arial" w:eastAsia="Arial" w:cs="Arial"/>
                <w:i w:val="0"/>
                <w:iCs w:val="0"/>
                <w:color w:val="ED7D31" w:themeColor="accent2" w:themeTint="FF" w:themeShade="FF"/>
              </w:rPr>
            </w:pPr>
            <w:r w:rsidRPr="7FB37BA2" w:rsidR="561E77C8">
              <w:rPr>
                <w:rFonts w:ascii="Arial" w:hAnsi="Arial" w:eastAsia="Arial" w:cs="Arial"/>
                <w:i w:val="0"/>
                <w:iCs w:val="0"/>
                <w:color w:val="ED7D31" w:themeColor="accent2" w:themeTint="FF" w:themeShade="FF"/>
              </w:rPr>
              <w:t>Description of how this feature will benefit the advisor if they opt in to migrate.</w:t>
            </w:r>
          </w:p>
        </w:tc>
        <w:tc>
          <w:tcPr>
            <w:tcW w:w="4680" w:type="dxa"/>
            <w:tcMar/>
          </w:tcPr>
          <w:p w:rsidR="5E92125A" w:rsidP="7FB37BA2" w:rsidRDefault="5E92125A" w14:paraId="1A7F92FD" w14:textId="64F5EDA5" w14:noSpellErr="1">
            <w:pPr>
              <w:rPr>
                <w:rFonts w:ascii="Arial" w:hAnsi="Arial" w:eastAsia="Arial" w:cs="Arial"/>
                <w:i w:val="0"/>
                <w:iCs w:val="0"/>
                <w:color w:val="ED7D31" w:themeColor="accent2" w:themeTint="FF" w:themeShade="FF"/>
              </w:rPr>
            </w:pPr>
            <w:r w:rsidRPr="7FB37BA2" w:rsidR="561E77C8">
              <w:rPr>
                <w:rFonts w:ascii="Arial" w:hAnsi="Arial" w:eastAsia="Arial" w:cs="Arial"/>
                <w:i w:val="0"/>
                <w:iCs w:val="0"/>
                <w:color w:val="ED7D31" w:themeColor="accent2" w:themeTint="FF" w:themeShade="FF"/>
              </w:rPr>
              <w:t>Description of how this feature will benefit the advisor if they opt in to migrate.</w:t>
            </w:r>
          </w:p>
        </w:tc>
      </w:tr>
    </w:tbl>
    <w:p w:rsidR="12BA1C10" w:rsidP="7FB37BA2" w:rsidRDefault="12BA1C10" w14:paraId="7EC229EC" w14:textId="729CDB02">
      <w:pPr>
        <w:rPr>
          <w:rFonts w:ascii="Arial" w:hAnsi="Arial" w:eastAsia="Arial" w:cs="Arial"/>
          <w:i w:val="1"/>
          <w:iCs w:val="1"/>
        </w:rPr>
      </w:pPr>
      <w:r w:rsidRPr="7FB37BA2" w:rsidR="12BA1C10">
        <w:rPr>
          <w:rFonts w:ascii="Calibri" w:hAnsi="Calibri" w:eastAsia="Calibri" w:cs="Calibri"/>
        </w:rPr>
        <w:t xml:space="preserve"> </w:t>
      </w:r>
    </w:p>
    <w:p w:rsidR="4392F37E" w:rsidP="7FB37BA2" w:rsidRDefault="4392F37E" w14:paraId="4B929B9D" w14:textId="152B809F">
      <w:pPr>
        <w:pStyle w:val="Normal"/>
        <w:jc w:val="center"/>
        <w:rPr>
          <w:rFonts w:ascii="Arial" w:hAnsi="Arial" w:eastAsia="Arial" w:cs="Arial"/>
          <w:b w:val="1"/>
          <w:bCs w:val="1"/>
          <w:i w:val="0"/>
          <w:iCs w:val="0"/>
        </w:rPr>
      </w:pPr>
      <w:r w:rsidRPr="7FB37BA2" w:rsidR="4392F37E">
        <w:rPr>
          <w:rFonts w:ascii="Arial" w:hAnsi="Arial" w:eastAsia="Arial" w:cs="Arial"/>
          <w:b w:val="1"/>
          <w:bCs w:val="1"/>
          <w:i w:val="0"/>
          <w:iCs w:val="0"/>
        </w:rPr>
        <w:t>Important to Note</w:t>
      </w:r>
    </w:p>
    <w:p w:rsidR="4392F37E" w:rsidP="0485E668" w:rsidRDefault="4392F37E" w14:paraId="32081CB9" w14:textId="152F7A18">
      <w:pPr>
        <w:pStyle w:val="Normal"/>
        <w:spacing w:after="160" w:line="259" w:lineRule="auto"/>
        <w:rPr>
          <w:rFonts w:ascii="Arial" w:hAnsi="Arial" w:eastAsia="Arial" w:cs="Arial"/>
          <w:b w:val="0"/>
          <w:bCs w:val="0"/>
          <w:i w:val="0"/>
          <w:iCs w:val="0"/>
          <w:noProof w:val="0"/>
          <w:color w:val="ED7C31"/>
          <w:sz w:val="22"/>
          <w:szCs w:val="22"/>
          <w:lang w:val="en-US"/>
        </w:rPr>
      </w:pPr>
      <w:r w:rsidRPr="0485E668" w:rsidR="4392F37E">
        <w:rPr>
          <w:rFonts w:ascii="Arial" w:hAnsi="Arial" w:eastAsia="Arial" w:cs="Arial"/>
          <w:b w:val="0"/>
          <w:bCs w:val="0"/>
          <w:i w:val="0"/>
          <w:iCs w:val="0"/>
        </w:rPr>
        <w:t xml:space="preserve">Once the migration occurs, the destination URL for migrated offices will differ from your existing URL. This means the Advisor Site URL and the Client Portal URL will change for migrating offices. Please use </w:t>
      </w:r>
      <w:r w:rsidRPr="0485E668" w:rsidR="4392F37E">
        <w:rPr>
          <w:rFonts w:ascii="Arial" w:hAnsi="Arial" w:eastAsia="Arial" w:cs="Arial"/>
          <w:b w:val="1"/>
          <w:bCs w:val="1"/>
          <w:i w:val="0"/>
          <w:iCs w:val="0"/>
          <w:color w:val="0070C0"/>
          <w:u w:val="single"/>
        </w:rPr>
        <w:t>this client-facing email template</w:t>
      </w:r>
      <w:r w:rsidRPr="0485E668" w:rsidR="4392F37E">
        <w:rPr>
          <w:rFonts w:ascii="Arial" w:hAnsi="Arial" w:eastAsia="Arial" w:cs="Arial"/>
          <w:b w:val="0"/>
          <w:bCs w:val="0"/>
          <w:i w:val="0"/>
          <w:iCs w:val="0"/>
        </w:rPr>
        <w:t xml:space="preserve"> to share with your clients to prepare them for this change. </w:t>
      </w:r>
      <w:r w:rsidRPr="0485E668" w:rsidR="071C3A92">
        <w:rPr>
          <w:rFonts w:ascii="Arial" w:hAnsi="Arial" w:eastAsia="Arial" w:cs="Arial"/>
          <w:b w:val="0"/>
          <w:bCs w:val="0"/>
          <w:i w:val="0"/>
          <w:iCs w:val="0"/>
          <w:noProof w:val="0"/>
          <w:color w:val="ED7D31" w:themeColor="accent2" w:themeTint="FF" w:themeShade="FF"/>
          <w:sz w:val="22"/>
          <w:szCs w:val="22"/>
          <w:lang w:val="en-US"/>
        </w:rPr>
        <w:t>[</w:t>
      </w:r>
      <w:proofErr w:type="spellStart"/>
      <w:r w:rsidRPr="0485E668" w:rsidR="071C3A92">
        <w:rPr>
          <w:rFonts w:ascii="Arial" w:hAnsi="Arial" w:eastAsia="Arial" w:cs="Arial"/>
          <w:b w:val="0"/>
          <w:bCs w:val="0"/>
          <w:i w:val="0"/>
          <w:iCs w:val="0"/>
          <w:noProof w:val="0"/>
          <w:color w:val="ED7D31" w:themeColor="accent2" w:themeTint="FF" w:themeShade="FF"/>
          <w:sz w:val="22"/>
          <w:szCs w:val="22"/>
          <w:lang w:val="en-US"/>
        </w:rPr>
        <w:t>eMoney</w:t>
      </w:r>
      <w:proofErr w:type="spellEnd"/>
      <w:r w:rsidRPr="0485E668" w:rsidR="071C3A92">
        <w:rPr>
          <w:rFonts w:ascii="Arial" w:hAnsi="Arial" w:eastAsia="Arial" w:cs="Arial"/>
          <w:b w:val="0"/>
          <w:bCs w:val="0"/>
          <w:i w:val="0"/>
          <w:iCs w:val="0"/>
          <w:noProof w:val="0"/>
          <w:color w:val="ED7D31" w:themeColor="accent2" w:themeTint="FF" w:themeShade="FF"/>
          <w:sz w:val="22"/>
          <w:szCs w:val="22"/>
          <w:lang w:val="en-US"/>
        </w:rPr>
        <w:t xml:space="preserve"> </w:t>
      </w:r>
      <w:r w:rsidRPr="0485E668" w:rsidR="071C3A92">
        <w:rPr>
          <w:rFonts w:ascii="Arial" w:hAnsi="Arial" w:eastAsia="Arial" w:cs="Arial"/>
          <w:b w:val="0"/>
          <w:bCs w:val="0"/>
          <w:i w:val="0"/>
          <w:iCs w:val="0"/>
          <w:noProof w:val="0"/>
          <w:color w:val="ED7C31"/>
          <w:sz w:val="22"/>
          <w:szCs w:val="22"/>
          <w:lang w:val="en-US"/>
        </w:rPr>
        <w:t xml:space="preserve">Note: hyperlink to email template. Can locate email template in </w:t>
      </w:r>
      <w:r w:rsidRPr="0485E668" w:rsidR="071C3A92">
        <w:rPr>
          <w:rFonts w:ascii="Arial" w:hAnsi="Arial" w:eastAsia="Arial" w:cs="Arial"/>
          <w:b w:val="1"/>
          <w:bCs w:val="1"/>
          <w:i w:val="1"/>
          <w:iCs w:val="1"/>
          <w:noProof w:val="0"/>
          <w:color w:val="ED7C31"/>
          <w:sz w:val="22"/>
          <w:szCs w:val="22"/>
          <w:lang w:val="en-US"/>
        </w:rPr>
        <w:t>Onboarding &gt; Investor</w:t>
      </w:r>
      <w:r w:rsidRPr="0485E668" w:rsidR="071C3A92">
        <w:rPr>
          <w:rFonts w:ascii="Arial" w:hAnsi="Arial" w:eastAsia="Arial" w:cs="Arial"/>
          <w:b w:val="0"/>
          <w:bCs w:val="0"/>
          <w:i w:val="0"/>
          <w:iCs w:val="0"/>
          <w:noProof w:val="0"/>
          <w:color w:val="ED7C31"/>
          <w:sz w:val="22"/>
          <w:szCs w:val="22"/>
          <w:lang w:val="en-US"/>
        </w:rPr>
        <w:t xml:space="preserve"> section, or search for “URL Change” in CRC]</w:t>
      </w:r>
    </w:p>
    <w:p w:rsidR="4392F37E" w:rsidP="0485E668" w:rsidRDefault="4392F37E" w14:paraId="1C7C9244" w14:textId="34C45057">
      <w:pPr>
        <w:pStyle w:val="Normal"/>
        <w:jc w:val="left"/>
        <w:rPr>
          <w:rFonts w:ascii="Arial" w:hAnsi="Arial" w:eastAsia="Arial" w:cs="Arial"/>
          <w:b w:val="0"/>
          <w:bCs w:val="0"/>
          <w:i w:val="0"/>
          <w:iCs w:val="0"/>
          <w:color w:val="ED7C31"/>
        </w:rPr>
      </w:pPr>
    </w:p>
    <w:p w:rsidR="7FB37BA2" w:rsidP="7FB37BA2" w:rsidRDefault="7FB37BA2" w14:paraId="79D27D52" w14:textId="6D6CE301">
      <w:pPr>
        <w:pStyle w:val="Normal"/>
        <w:jc w:val="left"/>
        <w:rPr>
          <w:rFonts w:ascii="Arial" w:hAnsi="Arial" w:eastAsia="Arial" w:cs="Arial"/>
          <w:b w:val="0"/>
          <w:bCs w:val="0"/>
          <w:i w:val="0"/>
          <w:iCs w:val="0"/>
          <w:color w:val="ED7D31" w:themeColor="accent2" w:themeTint="FF" w:themeShade="FF"/>
        </w:rPr>
      </w:pPr>
    </w:p>
    <w:p w:rsidR="006107F1" w:rsidP="5E92125A" w:rsidRDefault="12BA1C10" w14:paraId="78E144C3" w14:textId="79FBEC2E">
      <w:pPr>
        <w:rPr>
          <w:rFonts w:ascii="Arial" w:hAnsi="Arial" w:eastAsia="Arial" w:cs="Arial"/>
          <w:b/>
          <w:bCs/>
        </w:rPr>
      </w:pPr>
      <w:r w:rsidRPr="7FB37BA2" w:rsidR="12BA1C10">
        <w:rPr>
          <w:rFonts w:ascii="Arial" w:hAnsi="Arial" w:eastAsia="Arial" w:cs="Arial"/>
          <w:b w:val="1"/>
          <w:bCs w:val="1"/>
        </w:rPr>
        <w:t>-</w:t>
      </w:r>
      <w:r w:rsidRPr="7FB37BA2" w:rsidR="12BA1C10">
        <w:rPr>
          <w:rFonts w:ascii="Arial" w:hAnsi="Arial" w:eastAsia="Arial" w:cs="Arial"/>
          <w:b w:val="1"/>
          <w:bCs w:val="1"/>
          <w:color w:val="00AAE6"/>
        </w:rPr>
        <w:t>[Enterprise]</w:t>
      </w:r>
      <w:r w:rsidRPr="7FB37BA2" w:rsidR="12BA1C10">
        <w:rPr>
          <w:rFonts w:ascii="Arial" w:hAnsi="Arial" w:eastAsia="Arial" w:cs="Arial"/>
          <w:b w:val="1"/>
          <w:bCs w:val="1"/>
        </w:rPr>
        <w:t xml:space="preserve"> and eMoney Advisor</w:t>
      </w:r>
    </w:p>
    <w:p w:rsidR="006107F1" w:rsidP="7FB37BA2" w:rsidRDefault="006107F1" w14:paraId="02B31FE2" w14:textId="0D491D15">
      <w:pPr>
        <w:rPr>
          <w:rFonts w:ascii="Arial" w:hAnsi="Arial" w:eastAsia="Arial" w:cs="Arial"/>
          <w:i w:val="1"/>
          <w:iCs w:val="1"/>
        </w:rPr>
      </w:pPr>
      <w:r w:rsidRPr="7FB37BA2" w:rsidR="47815766">
        <w:rPr>
          <w:rFonts w:ascii="Arial" w:hAnsi="Arial" w:eastAsia="Arial" w:cs="Arial"/>
          <w:i w:val="1"/>
          <w:iCs w:val="1"/>
        </w:rPr>
        <w:t>*Final migration date is subject to change.</w:t>
      </w:r>
    </w:p>
    <w:p w:rsidR="006107F1" w:rsidP="7FB37BA2" w:rsidRDefault="006107F1" w14:paraId="2C078E63" w14:textId="4226AE8B">
      <w:pPr>
        <w:pStyle w:val="Normal"/>
      </w:pPr>
    </w:p>
    <w:sectPr w:rsidR="006107F1" w:rsidSect="004C2CEC">
      <w:pgSz w:w="12240" w:h="15840" w:orient="portrait"/>
      <w:pgMar w:top="144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trackRevisions w:val="fal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A40C4FE"/>
    <w:rsid w:val="000917B0"/>
    <w:rsid w:val="004C2CEC"/>
    <w:rsid w:val="006107F1"/>
    <w:rsid w:val="0485E668"/>
    <w:rsid w:val="071C3A92"/>
    <w:rsid w:val="0DA142AD"/>
    <w:rsid w:val="12BA1C10"/>
    <w:rsid w:val="202342D6"/>
    <w:rsid w:val="24B1DA95"/>
    <w:rsid w:val="26D3CEB1"/>
    <w:rsid w:val="2743344E"/>
    <w:rsid w:val="2A40C4FE"/>
    <w:rsid w:val="2CA8870B"/>
    <w:rsid w:val="2EFE402F"/>
    <w:rsid w:val="34C0DF55"/>
    <w:rsid w:val="38919564"/>
    <w:rsid w:val="3969E2AC"/>
    <w:rsid w:val="3AF0F6E3"/>
    <w:rsid w:val="3D429B71"/>
    <w:rsid w:val="3F63C237"/>
    <w:rsid w:val="42335C18"/>
    <w:rsid w:val="4392F37E"/>
    <w:rsid w:val="442BF836"/>
    <w:rsid w:val="47815766"/>
    <w:rsid w:val="4C03566F"/>
    <w:rsid w:val="4D800930"/>
    <w:rsid w:val="53122635"/>
    <w:rsid w:val="531FF76D"/>
    <w:rsid w:val="55DB98C2"/>
    <w:rsid w:val="561E77C8"/>
    <w:rsid w:val="5B39B509"/>
    <w:rsid w:val="5E92125A"/>
    <w:rsid w:val="615167FE"/>
    <w:rsid w:val="6745A1BA"/>
    <w:rsid w:val="67594C07"/>
    <w:rsid w:val="679AB77B"/>
    <w:rsid w:val="6A0CBF8D"/>
    <w:rsid w:val="6B31CC65"/>
    <w:rsid w:val="7218DE1B"/>
    <w:rsid w:val="72DF9812"/>
    <w:rsid w:val="73C25D15"/>
    <w:rsid w:val="7FB37B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40C4FE"/>
  <w15:chartTrackingRefBased/>
  <w15:docId w15:val="{84357442-E887-43AE-926F-9BE0A90AB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hAnsiTheme="majorHAnsi" w:eastAsiaTheme="majorEastAsia" w:cstheme="majorBidi"/>
      <w:color w:val="2F5496" w:themeColor="accent1" w:themeShade="BF"/>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2Char" w:customStyle="1">
    <w:name w:val="Heading 2 Char"/>
    <w:basedOn w:val="DefaultParagraphFont"/>
    <w:link w:val="Heading2"/>
    <w:uiPriority w:val="9"/>
    <w:rPr>
      <w:rFonts w:asciiTheme="majorHAnsi" w:hAnsiTheme="majorHAnsi" w:eastAsiaTheme="majorEastAsia" w:cstheme="majorBidi"/>
      <w:color w:val="2F5496" w:themeColor="accent1" w:themeShade="BF"/>
      <w:sz w:val="26"/>
      <w:szCs w:val="26"/>
    </w:rPr>
  </w:style>
  <w:style w:type="character" w:styleId="Heading1Char" w:customStyle="1">
    <w:name w:val="Heading 1 Char"/>
    <w:basedOn w:val="DefaultParagraphFont"/>
    <w:link w:val="Heading1"/>
    <w:uiPriority w:val="9"/>
    <w:rPr>
      <w:rFonts w:asciiTheme="majorHAnsi" w:hAnsiTheme="majorHAnsi" w:eastAsiaTheme="majorEastAsia" w:cstheme="majorBidi"/>
      <w:color w:val="2F5496" w:themeColor="accent1" w:themeShade="BF"/>
      <w:sz w:val="32"/>
      <w:szCs w:val="32"/>
    </w:rPr>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Hyperlink">
    <w:name w:val="Hyperlink"/>
    <w:basedOn w:val="DefaultParagraphFont"/>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fontTable" Target="fontTable.xml" Id="rId5"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Allison Livingston</dc:creator>
  <keywords/>
  <dc:description/>
  <lastModifiedBy>Julie Himmel</lastModifiedBy>
  <revision>4</revision>
  <dcterms:created xsi:type="dcterms:W3CDTF">2020-10-14T16:50:00.0000000Z</dcterms:created>
  <dcterms:modified xsi:type="dcterms:W3CDTF">2020-10-28T17:45:11.9433677Z</dcterms:modified>
</coreProperties>
</file>