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00" w:type="dxa"/>
        <w:shd w:val="clear" w:color="auto" w:fill="D4D6D7"/>
        <w:tblCellMar>
          <w:left w:w="0" w:type="dxa"/>
          <w:right w:w="0" w:type="dxa"/>
        </w:tblCellMar>
        <w:tblLook w:val="04A0" w:firstRow="1" w:lastRow="0" w:firstColumn="1" w:lastColumn="0" w:noHBand="0" w:noVBand="1"/>
      </w:tblPr>
      <w:tblGrid>
        <w:gridCol w:w="9000"/>
      </w:tblGrid>
      <w:tr w:rsidR="00E16461" w:rsidRPr="00E16461" w14:paraId="13091201" w14:textId="77777777" w:rsidTr="00E16461">
        <w:tc>
          <w:tcPr>
            <w:tcW w:w="0" w:type="auto"/>
            <w:shd w:val="clear" w:color="auto" w:fill="1A2856"/>
            <w:vAlign w:val="center"/>
            <w:hideMark/>
          </w:tcPr>
          <w:tbl>
            <w:tblPr>
              <w:tblW w:w="5000" w:type="pct"/>
              <w:tblCellMar>
                <w:left w:w="0" w:type="dxa"/>
                <w:right w:w="0" w:type="dxa"/>
              </w:tblCellMar>
              <w:tblLook w:val="04A0" w:firstRow="1" w:lastRow="0" w:firstColumn="1" w:lastColumn="0" w:noHBand="0" w:noVBand="1"/>
            </w:tblPr>
            <w:tblGrid>
              <w:gridCol w:w="9000"/>
            </w:tblGrid>
            <w:tr w:rsidR="00E16461" w:rsidRPr="00E16461" w14:paraId="1FDA7212"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E16461" w:rsidRPr="00E16461" w14:paraId="59FCDF9E" w14:textId="77777777">
                    <w:tc>
                      <w:tcPr>
                        <w:tcW w:w="0" w:type="auto"/>
                        <w:hideMark/>
                      </w:tcPr>
                      <w:tbl>
                        <w:tblPr>
                          <w:tblW w:w="0" w:type="auto"/>
                          <w:tblCellMar>
                            <w:left w:w="0" w:type="dxa"/>
                            <w:right w:w="0" w:type="dxa"/>
                          </w:tblCellMar>
                          <w:tblLook w:val="04A0" w:firstRow="1" w:lastRow="0" w:firstColumn="1" w:lastColumn="0" w:noHBand="0" w:noVBand="1"/>
                        </w:tblPr>
                        <w:tblGrid>
                          <w:gridCol w:w="2250"/>
                        </w:tblGrid>
                        <w:tr w:rsidR="00E16461" w:rsidRPr="00E16461" w14:paraId="73BED5ED" w14:textId="77777777">
                          <w:tc>
                            <w:tcPr>
                              <w:tcW w:w="0" w:type="auto"/>
                              <w:shd w:val="clear" w:color="auto" w:fill="D4D6D7"/>
                              <w:tcMar>
                                <w:top w:w="150" w:type="dxa"/>
                                <w:left w:w="0" w:type="dxa"/>
                                <w:bottom w:w="225" w:type="dxa"/>
                                <w:right w:w="0" w:type="dxa"/>
                              </w:tcMar>
                              <w:vAlign w:val="center"/>
                              <w:hideMark/>
                            </w:tcPr>
                            <w:p w14:paraId="0BA5D3E6" w14:textId="41B6A398" w:rsidR="00E16461" w:rsidRPr="00E16461" w:rsidRDefault="00E16461" w:rsidP="00E16461">
                              <w:r w:rsidRPr="00E16461">
                                <w:drawing>
                                  <wp:inline distT="0" distB="0" distL="0" distR="0" wp14:anchorId="5475344F" wp14:editId="42AB4BB5">
                                    <wp:extent cx="1428750" cy="387350"/>
                                    <wp:effectExtent l="0" t="0" r="0" b="0"/>
                                    <wp:docPr id="400596660" name="Picture 3" descr="eMon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oney Logo"/>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28750" cy="387350"/>
                                            </a:xfrm>
                                            <a:prstGeom prst="rect">
                                              <a:avLst/>
                                            </a:prstGeom>
                                            <a:noFill/>
                                            <a:ln>
                                              <a:noFill/>
                                            </a:ln>
                                          </pic:spPr>
                                        </pic:pic>
                                      </a:graphicData>
                                    </a:graphic>
                                  </wp:inline>
                                </w:drawing>
                              </w:r>
                            </w:p>
                          </w:tc>
                        </w:tr>
                      </w:tbl>
                      <w:p w14:paraId="7B21C7DA" w14:textId="77777777" w:rsidR="00E16461" w:rsidRPr="00E16461" w:rsidRDefault="00E16461" w:rsidP="00E16461"/>
                    </w:tc>
                  </w:tr>
                </w:tbl>
                <w:p w14:paraId="551BA01E" w14:textId="77777777" w:rsidR="00E16461" w:rsidRPr="00E16461" w:rsidRDefault="00E16461" w:rsidP="00E16461"/>
              </w:tc>
            </w:tr>
          </w:tbl>
          <w:p w14:paraId="1A56E7D8" w14:textId="77777777" w:rsidR="00E16461" w:rsidRPr="00E16461" w:rsidRDefault="00E16461" w:rsidP="00E16461"/>
        </w:tc>
      </w:tr>
    </w:tbl>
    <w:p w14:paraId="5E045D3E" w14:textId="77777777" w:rsidR="00E16461" w:rsidRPr="00E16461" w:rsidRDefault="00E16461" w:rsidP="00E16461">
      <w:pPr>
        <w:rPr>
          <w:vanish/>
        </w:rPr>
      </w:pPr>
    </w:p>
    <w:tbl>
      <w:tblPr>
        <w:tblW w:w="9000" w:type="dxa"/>
        <w:shd w:val="clear" w:color="auto" w:fill="D4D6D7"/>
        <w:tblCellMar>
          <w:left w:w="0" w:type="dxa"/>
          <w:right w:w="0" w:type="dxa"/>
        </w:tblCellMar>
        <w:tblLook w:val="04A0" w:firstRow="1" w:lastRow="0" w:firstColumn="1" w:lastColumn="0" w:noHBand="0" w:noVBand="1"/>
      </w:tblPr>
      <w:tblGrid>
        <w:gridCol w:w="9000"/>
      </w:tblGrid>
      <w:tr w:rsidR="00E16461" w:rsidRPr="00E16461" w14:paraId="532A907D" w14:textId="77777777" w:rsidTr="00E16461">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9000"/>
            </w:tblGrid>
            <w:tr w:rsidR="00E16461" w:rsidRPr="00E16461" w14:paraId="2B183E9C"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E16461" w:rsidRPr="00E16461" w14:paraId="22541612" w14:textId="77777777">
                    <w:tc>
                      <w:tcPr>
                        <w:tcW w:w="0" w:type="auto"/>
                        <w:hideMark/>
                      </w:tcPr>
                      <w:tbl>
                        <w:tblPr>
                          <w:tblW w:w="0" w:type="auto"/>
                          <w:tblCellMar>
                            <w:left w:w="0" w:type="dxa"/>
                            <w:right w:w="0" w:type="dxa"/>
                          </w:tblCellMar>
                          <w:tblLook w:val="04A0" w:firstRow="1" w:lastRow="0" w:firstColumn="1" w:lastColumn="0" w:noHBand="0" w:noVBand="1"/>
                        </w:tblPr>
                        <w:tblGrid>
                          <w:gridCol w:w="9000"/>
                        </w:tblGrid>
                        <w:tr w:rsidR="00E16461" w:rsidRPr="00E16461" w14:paraId="2D31454E" w14:textId="77777777">
                          <w:tc>
                            <w:tcPr>
                              <w:tcW w:w="0" w:type="auto"/>
                              <w:shd w:val="clear" w:color="auto" w:fill="auto"/>
                              <w:vAlign w:val="center"/>
                              <w:hideMark/>
                            </w:tcPr>
                            <w:p w14:paraId="687A0C28" w14:textId="677A792B" w:rsidR="00E16461" w:rsidRPr="00E16461" w:rsidRDefault="00E16461" w:rsidP="00E16461">
                              <w:r w:rsidRPr="00E16461">
                                <w:drawing>
                                  <wp:inline distT="0" distB="0" distL="0" distR="0" wp14:anchorId="2F648FF8" wp14:editId="2C1973C1">
                                    <wp:extent cx="5715000" cy="1676400"/>
                                    <wp:effectExtent l="0" t="0" r="0" b="0"/>
                                    <wp:docPr id="1151915573" name="Picture 2" descr="90% of advisors reported improvements in business process and efficiency as a result of using eMone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90% of advisors reported improvements in business process and efficiency as a result of using eMoney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0" cy="1676400"/>
                                            </a:xfrm>
                                            <a:prstGeom prst="rect">
                                              <a:avLst/>
                                            </a:prstGeom>
                                            <a:noFill/>
                                            <a:ln>
                                              <a:noFill/>
                                            </a:ln>
                                          </pic:spPr>
                                        </pic:pic>
                                      </a:graphicData>
                                    </a:graphic>
                                  </wp:inline>
                                </w:drawing>
                              </w:r>
                            </w:p>
                          </w:tc>
                        </w:tr>
                        <w:tr w:rsidR="00E16461" w:rsidRPr="00E16461" w14:paraId="4EF06ACC" w14:textId="77777777">
                          <w:tc>
                            <w:tcPr>
                              <w:tcW w:w="0" w:type="auto"/>
                              <w:shd w:val="clear" w:color="auto" w:fill="auto"/>
                              <w:tcMar>
                                <w:top w:w="375" w:type="dxa"/>
                                <w:left w:w="450" w:type="dxa"/>
                                <w:bottom w:w="0" w:type="dxa"/>
                                <w:right w:w="450" w:type="dxa"/>
                              </w:tcMar>
                              <w:vAlign w:val="center"/>
                              <w:hideMark/>
                            </w:tcPr>
                            <w:p w14:paraId="563C94F4" w14:textId="77777777" w:rsidR="00E16461" w:rsidRPr="00E16461" w:rsidRDefault="00E16461" w:rsidP="00E16461">
                              <w:hyperlink r:id="rId6" w:tgtFrame="_blank" w:history="1">
                                <w:r w:rsidRPr="00E16461">
                                  <w:rPr>
                                    <w:rStyle w:val="Hyperlink"/>
                                    <w:b/>
                                    <w:bCs/>
                                  </w:rPr>
                                  <w:t>4 Workflows for a More Efficient Financial Planning Process</w:t>
                                </w:r>
                              </w:hyperlink>
                            </w:p>
                            <w:p w14:paraId="6D2B49C0" w14:textId="77777777" w:rsidR="00E16461" w:rsidRPr="00E16461" w:rsidRDefault="00E16461" w:rsidP="00E16461">
                              <w:r w:rsidRPr="00E16461">
                                <w:t>Financial planning can be complex, with various client touchpoints, document transfers, and unique needs. A clear, structured approach is essential for efficiently managing everything from simple retirement goals to complex lifestyle and legacy planning.</w:t>
                              </w:r>
                            </w:p>
                            <w:p w14:paraId="30B94748" w14:textId="77777777" w:rsidR="00E16461" w:rsidRPr="00E16461" w:rsidRDefault="00E16461" w:rsidP="00E16461"/>
                          </w:tc>
                        </w:tr>
                        <w:tr w:rsidR="00E16461" w:rsidRPr="00E16461" w14:paraId="7E67CC35" w14:textId="77777777">
                          <w:tc>
                            <w:tcPr>
                              <w:tcW w:w="0" w:type="auto"/>
                              <w:shd w:val="clear" w:color="auto" w:fill="auto"/>
                              <w:vAlign w:val="center"/>
                              <w:hideMark/>
                            </w:tcPr>
                            <w:p w14:paraId="783E058C" w14:textId="22F782A7" w:rsidR="00E16461" w:rsidRPr="00E16461" w:rsidRDefault="00E16461" w:rsidP="00E16461">
                              <w:r w:rsidRPr="00E16461">
                                <w:drawing>
                                  <wp:inline distT="0" distB="0" distL="0" distR="0" wp14:anchorId="3FF3EBB2" wp14:editId="0BA13642">
                                    <wp:extent cx="5715000" cy="2324100"/>
                                    <wp:effectExtent l="0" t="0" r="0" b="0"/>
                                    <wp:docPr id="1764461318" name="Picture 1" descr="A person and person sitting on a couch&#10;&#10;AI-generated content may be incorrect.">
                                      <a:hlinkClick xmlns:a="http://schemas.openxmlformats.org/drawingml/2006/main" r:id="rId7" tgtFrame="&quot;_blank&quot;" tooltip="&quot;Read the pos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461318" name="Picture 1" descr="A person and person sitting on a couch&#10;&#10;AI-generated content may be incorrect.">
                                              <a:hlinkClick r:id="rId7" tgtFrame="&quot;_blank&quot;" tooltip="&quot;Read the post&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2324100"/>
                                            </a:xfrm>
                                            <a:prstGeom prst="rect">
                                              <a:avLst/>
                                            </a:prstGeom>
                                            <a:noFill/>
                                            <a:ln>
                                              <a:noFill/>
                                            </a:ln>
                                          </pic:spPr>
                                        </pic:pic>
                                      </a:graphicData>
                                    </a:graphic>
                                  </wp:inline>
                                </w:drawing>
                              </w:r>
                            </w:p>
                          </w:tc>
                        </w:tr>
                        <w:tr w:rsidR="00E16461" w:rsidRPr="00E16461" w14:paraId="237B492A" w14:textId="77777777">
                          <w:tc>
                            <w:tcPr>
                              <w:tcW w:w="0" w:type="auto"/>
                              <w:shd w:val="clear" w:color="auto" w:fill="auto"/>
                              <w:tcMar>
                                <w:top w:w="300" w:type="dxa"/>
                                <w:left w:w="450" w:type="dxa"/>
                                <w:bottom w:w="0" w:type="dxa"/>
                                <w:right w:w="450" w:type="dxa"/>
                              </w:tcMar>
                              <w:vAlign w:val="center"/>
                              <w:hideMark/>
                            </w:tcPr>
                            <w:p w14:paraId="6F12134C" w14:textId="77777777" w:rsidR="00E16461" w:rsidRPr="00E16461" w:rsidRDefault="00E16461" w:rsidP="00E16461">
                              <w:r w:rsidRPr="00E16461">
                                <w:t>This blog will guide you through four essential workflows that simplify the planning process. By leveraging these techniques, you’ll not only create more effective financial plans but also build stronger, more engaged relationships with your clients.</w:t>
                              </w:r>
                            </w:p>
                          </w:tc>
                        </w:tr>
                        <w:tr w:rsidR="00E16461" w:rsidRPr="00E16461" w14:paraId="1F03A077" w14:textId="77777777">
                          <w:tc>
                            <w:tcPr>
                              <w:tcW w:w="0" w:type="auto"/>
                              <w:shd w:val="clear" w:color="auto" w:fill="FFFFFF"/>
                              <w:tcMar>
                                <w:top w:w="300" w:type="dxa"/>
                                <w:left w:w="300" w:type="dxa"/>
                                <w:bottom w:w="450" w:type="dxa"/>
                                <w:right w:w="150" w:type="dxa"/>
                              </w:tcMar>
                              <w:vAlign w:val="center"/>
                              <w:hideMark/>
                            </w:tcPr>
                            <w:p w14:paraId="4BB2A227" w14:textId="77777777" w:rsidR="00E16461" w:rsidRPr="00E16461" w:rsidRDefault="00E16461" w:rsidP="00E16461">
                              <w:hyperlink r:id="rId9" w:tgtFrame="_blank" w:tooltip="Register Now" w:history="1">
                                <w:r w:rsidRPr="00E16461">
                                  <w:rPr>
                                    <w:rStyle w:val="Hyperlink"/>
                                    <w:b/>
                                    <w:bCs/>
                                  </w:rPr>
                                  <w:t>Learn More About Simplifying Financial Planning</w:t>
                                </w:r>
                              </w:hyperlink>
                            </w:p>
                          </w:tc>
                        </w:tr>
                        <w:tr w:rsidR="00E16461" w:rsidRPr="00E16461" w14:paraId="668FE098" w14:textId="77777777">
                          <w:tc>
                            <w:tcPr>
                              <w:tcW w:w="0" w:type="auto"/>
                              <w:shd w:val="clear" w:color="auto" w:fill="1A6887"/>
                              <w:tcMar>
                                <w:top w:w="150" w:type="dxa"/>
                                <w:left w:w="450" w:type="dxa"/>
                                <w:bottom w:w="225" w:type="dxa"/>
                                <w:right w:w="450" w:type="dxa"/>
                              </w:tcMar>
                              <w:vAlign w:val="center"/>
                              <w:hideMark/>
                            </w:tcPr>
                            <w:p w14:paraId="692FB717" w14:textId="77777777" w:rsidR="00E16461" w:rsidRPr="00E16461" w:rsidRDefault="00E16461" w:rsidP="00E16461">
                              <w:pPr>
                                <w:rPr>
                                  <w:b/>
                                  <w:bCs/>
                                </w:rPr>
                              </w:pPr>
                              <w:r w:rsidRPr="00E16461">
                                <w:rPr>
                                  <w:b/>
                                  <w:bCs/>
                                </w:rPr>
                                <w:t>More Content You May Be Interested In</w:t>
                              </w:r>
                            </w:p>
                          </w:tc>
                        </w:tr>
                      </w:tbl>
                      <w:p w14:paraId="38A80EFF" w14:textId="77777777" w:rsidR="00E16461" w:rsidRPr="00E16461" w:rsidRDefault="00E16461" w:rsidP="00E16461"/>
                    </w:tc>
                  </w:tr>
                </w:tbl>
                <w:p w14:paraId="0EDF6451" w14:textId="77777777" w:rsidR="00E16461" w:rsidRPr="00E16461" w:rsidRDefault="00E16461" w:rsidP="00E16461"/>
              </w:tc>
            </w:tr>
          </w:tbl>
          <w:p w14:paraId="5C26AF93" w14:textId="77777777" w:rsidR="00E16461" w:rsidRPr="00E16461" w:rsidRDefault="00E16461" w:rsidP="00E16461"/>
        </w:tc>
      </w:tr>
    </w:tbl>
    <w:p w14:paraId="22F5EF71" w14:textId="77777777" w:rsidR="00E16461" w:rsidRPr="00E16461" w:rsidRDefault="00E16461" w:rsidP="00E16461">
      <w:pPr>
        <w:rPr>
          <w:vanish/>
        </w:rPr>
      </w:pPr>
    </w:p>
    <w:tbl>
      <w:tblPr>
        <w:tblW w:w="9000" w:type="dxa"/>
        <w:shd w:val="clear" w:color="auto" w:fill="D4D6D7"/>
        <w:tblCellMar>
          <w:left w:w="0" w:type="dxa"/>
          <w:right w:w="0" w:type="dxa"/>
        </w:tblCellMar>
        <w:tblLook w:val="04A0" w:firstRow="1" w:lastRow="0" w:firstColumn="1" w:lastColumn="0" w:noHBand="0" w:noVBand="1"/>
      </w:tblPr>
      <w:tblGrid>
        <w:gridCol w:w="9000"/>
      </w:tblGrid>
      <w:tr w:rsidR="00E16461" w:rsidRPr="00E16461" w14:paraId="29084550" w14:textId="77777777" w:rsidTr="00E16461">
        <w:tc>
          <w:tcPr>
            <w:tcW w:w="0" w:type="auto"/>
            <w:shd w:val="clear" w:color="auto" w:fill="auto"/>
            <w:vAlign w:val="center"/>
            <w:hideMark/>
          </w:tcPr>
          <w:tbl>
            <w:tblPr>
              <w:tblW w:w="5000" w:type="pct"/>
              <w:tblCellMar>
                <w:left w:w="0" w:type="dxa"/>
                <w:right w:w="0" w:type="dxa"/>
              </w:tblCellMar>
              <w:tblLook w:val="04A0" w:firstRow="1" w:lastRow="0" w:firstColumn="1" w:lastColumn="0" w:noHBand="0" w:noVBand="1"/>
            </w:tblPr>
            <w:tblGrid>
              <w:gridCol w:w="9000"/>
            </w:tblGrid>
            <w:tr w:rsidR="00E16461" w:rsidRPr="00E16461" w14:paraId="57F6461F"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E16461" w:rsidRPr="00E16461" w14:paraId="2F1B313E" w14:textId="77777777">
                    <w:tc>
                      <w:tcPr>
                        <w:tcW w:w="0" w:type="auto"/>
                        <w:hideMark/>
                      </w:tcPr>
                      <w:tbl>
                        <w:tblPr>
                          <w:tblW w:w="0" w:type="auto"/>
                          <w:tblCellMar>
                            <w:left w:w="0" w:type="dxa"/>
                            <w:right w:w="0" w:type="dxa"/>
                          </w:tblCellMar>
                          <w:tblLook w:val="04A0" w:firstRow="1" w:lastRow="0" w:firstColumn="1" w:lastColumn="0" w:noHBand="0" w:noVBand="1"/>
                        </w:tblPr>
                        <w:tblGrid>
                          <w:gridCol w:w="9000"/>
                        </w:tblGrid>
                        <w:tr w:rsidR="00E16461" w:rsidRPr="00E16461" w14:paraId="67C3A221" w14:textId="77777777">
                          <w:tc>
                            <w:tcPr>
                              <w:tcW w:w="0" w:type="auto"/>
                              <w:shd w:val="clear" w:color="auto" w:fill="F2F5FD"/>
                              <w:tcMar>
                                <w:top w:w="450" w:type="dxa"/>
                                <w:left w:w="450" w:type="dxa"/>
                                <w:bottom w:w="450" w:type="dxa"/>
                                <w:right w:w="450" w:type="dxa"/>
                              </w:tcMar>
                              <w:vAlign w:val="center"/>
                              <w:hideMark/>
                            </w:tcPr>
                            <w:p w14:paraId="4FEF8855" w14:textId="77777777" w:rsidR="00E16461" w:rsidRPr="00E16461" w:rsidRDefault="00E16461" w:rsidP="00E16461">
                              <w:r w:rsidRPr="00E16461">
                                <w:rPr>
                                  <w:b/>
                                  <w:bCs/>
                                </w:rPr>
                                <w:t>PODCAST</w:t>
                              </w:r>
                            </w:p>
                            <w:p w14:paraId="334E0D41" w14:textId="77777777" w:rsidR="00E16461" w:rsidRPr="00E16461" w:rsidRDefault="00E16461" w:rsidP="00E16461">
                              <w:hyperlink r:id="rId10" w:tgtFrame="_blank" w:history="1">
                                <w:r w:rsidRPr="00E16461">
                                  <w:rPr>
                                    <w:rStyle w:val="Hyperlink"/>
                                    <w:b/>
                                    <w:bCs/>
                                  </w:rPr>
                                  <w:t>Podcast Episode #9: Values-aligned Investing with Max Mintz</w:t>
                                </w:r>
                              </w:hyperlink>
                            </w:p>
                            <w:p w14:paraId="545F516D" w14:textId="77777777" w:rsidR="00E16461" w:rsidRPr="00E16461" w:rsidRDefault="00E16461" w:rsidP="00E16461">
                              <w:hyperlink r:id="rId11" w:tgtFrame="_blank" w:history="1">
                                <w:r w:rsidRPr="00E16461">
                                  <w:rPr>
                                    <w:rStyle w:val="Hyperlink"/>
                                  </w:rPr>
                                  <w:t>Max Mintz returns to the podcast to discuss a very popular topic among financial professionals: sustainable investing, and how to combine financial returns with philanthropic impact</w:t>
                                </w:r>
                              </w:hyperlink>
                              <w:r w:rsidRPr="00E16461">
                                <w:t>.</w:t>
                              </w:r>
                            </w:p>
                          </w:tc>
                        </w:tr>
                        <w:tr w:rsidR="00E16461" w:rsidRPr="00E16461" w14:paraId="48B8062E" w14:textId="77777777">
                          <w:tc>
                            <w:tcPr>
                              <w:tcW w:w="0" w:type="auto"/>
                              <w:shd w:val="clear" w:color="auto" w:fill="FFFFFF"/>
                              <w:tcMar>
                                <w:top w:w="450" w:type="dxa"/>
                                <w:left w:w="450" w:type="dxa"/>
                                <w:bottom w:w="450" w:type="dxa"/>
                                <w:right w:w="450" w:type="dxa"/>
                              </w:tcMar>
                              <w:vAlign w:val="center"/>
                              <w:hideMark/>
                            </w:tcPr>
                            <w:p w14:paraId="572FBC88" w14:textId="77777777" w:rsidR="00E16461" w:rsidRPr="00E16461" w:rsidRDefault="00E16461" w:rsidP="00E16461">
                              <w:r w:rsidRPr="00E16461">
                                <w:rPr>
                                  <w:b/>
                                  <w:bCs/>
                                </w:rPr>
                                <w:t>BLOG</w:t>
                              </w:r>
                            </w:p>
                            <w:p w14:paraId="5D608080" w14:textId="77777777" w:rsidR="00E16461" w:rsidRPr="00E16461" w:rsidRDefault="00E16461" w:rsidP="00E16461">
                              <w:hyperlink r:id="rId12" w:tgtFrame="_blank" w:history="1">
                                <w:r w:rsidRPr="00E16461">
                                  <w:rPr>
                                    <w:rStyle w:val="Hyperlink"/>
                                    <w:b/>
                                    <w:bCs/>
                                  </w:rPr>
                                  <w:t>Three Keys to Building Stronger Relationships with Today’s Clients</w:t>
                                </w:r>
                              </w:hyperlink>
                              <w:hyperlink r:id="rId13" w:tgtFrame="_blank" w:history="1">
                                <w:r w:rsidRPr="00E16461">
                                  <w:rPr>
                                    <w:rStyle w:val="Hyperlink"/>
                                  </w:rPr>
                                  <w:t> </w:t>
                                </w:r>
                              </w:hyperlink>
                              <w:r w:rsidRPr="00E16461">
                                <w:t>Fidelity’s 2024 Investor Insights Study reveals that Millennials, Gen Z, and Gen X seek services beyond traditional money management. Discover three key actions advisors can take to connect with these generations and build stronger relationships.</w:t>
                              </w:r>
                            </w:p>
                            <w:p w14:paraId="5A2E9932" w14:textId="77777777" w:rsidR="00E16461" w:rsidRPr="00E16461" w:rsidRDefault="00E16461" w:rsidP="00E16461"/>
                          </w:tc>
                        </w:tr>
                        <w:tr w:rsidR="00E16461" w:rsidRPr="00E16461" w14:paraId="6A92DF7F" w14:textId="77777777">
                          <w:tc>
                            <w:tcPr>
                              <w:tcW w:w="0" w:type="auto"/>
                              <w:shd w:val="clear" w:color="auto" w:fill="F2F5FD"/>
                              <w:tcMar>
                                <w:top w:w="450" w:type="dxa"/>
                                <w:left w:w="450" w:type="dxa"/>
                                <w:bottom w:w="450" w:type="dxa"/>
                                <w:right w:w="450" w:type="dxa"/>
                              </w:tcMar>
                              <w:vAlign w:val="center"/>
                              <w:hideMark/>
                            </w:tcPr>
                            <w:p w14:paraId="56D1E595" w14:textId="77777777" w:rsidR="00E16461" w:rsidRPr="00E16461" w:rsidRDefault="00E16461" w:rsidP="00E16461">
                              <w:r w:rsidRPr="00E16461">
                                <w:rPr>
                                  <w:b/>
                                  <w:bCs/>
                                </w:rPr>
                                <w:t>CASE STUDY</w:t>
                              </w:r>
                            </w:p>
                            <w:p w14:paraId="4D615AEC" w14:textId="77777777" w:rsidR="00E16461" w:rsidRPr="00E16461" w:rsidRDefault="00E16461" w:rsidP="00E16461">
                              <w:hyperlink r:id="rId14" w:tgtFrame="_blank" w:history="1">
                                <w:r w:rsidRPr="00E16461">
                                  <w:rPr>
                                    <w:rStyle w:val="Hyperlink"/>
                                    <w:b/>
                                    <w:bCs/>
                                  </w:rPr>
                                  <w:t>A How-to Guide for Client Portal Engagement</w:t>
                                </w:r>
                              </w:hyperlink>
                            </w:p>
                            <w:p w14:paraId="2AE9E8C0" w14:textId="77777777" w:rsidR="00E16461" w:rsidRPr="00E16461" w:rsidRDefault="00E16461" w:rsidP="00E16461">
                              <w:r w:rsidRPr="00E16461">
                                <w:t>R&amp;R Wealth Management uses eMoney to facilitate in-depth, interactive discussions with their clients about their goals, ambitions, and other emotionally impactful issues.</w:t>
                              </w:r>
                            </w:p>
                          </w:tc>
                        </w:tr>
                      </w:tbl>
                      <w:p w14:paraId="1F94EB7F" w14:textId="77777777" w:rsidR="00E16461" w:rsidRPr="00E16461" w:rsidRDefault="00E16461" w:rsidP="00E16461"/>
                    </w:tc>
                  </w:tr>
                </w:tbl>
                <w:p w14:paraId="413CE3A7" w14:textId="77777777" w:rsidR="00E16461" w:rsidRPr="00E16461" w:rsidRDefault="00E16461" w:rsidP="00E16461"/>
              </w:tc>
            </w:tr>
          </w:tbl>
          <w:p w14:paraId="1DED05E8" w14:textId="77777777" w:rsidR="00E16461" w:rsidRPr="00E16461" w:rsidRDefault="00E16461" w:rsidP="00E16461"/>
        </w:tc>
      </w:tr>
    </w:tbl>
    <w:p w14:paraId="3BDFCF56" w14:textId="77777777" w:rsidR="00E16461" w:rsidRDefault="00E16461"/>
    <w:sectPr w:rsidR="00E164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461"/>
    <w:rsid w:val="00B2460D"/>
    <w:rsid w:val="00E164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3314C"/>
  <w15:chartTrackingRefBased/>
  <w15:docId w15:val="{584D720F-643F-41C0-B5C6-B2629D6F4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64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164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1646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1646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1646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1646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646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646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646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646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1646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1646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646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1646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164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64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64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6461"/>
    <w:rPr>
      <w:rFonts w:eastAsiaTheme="majorEastAsia" w:cstheme="majorBidi"/>
      <w:color w:val="272727" w:themeColor="text1" w:themeTint="D8"/>
    </w:rPr>
  </w:style>
  <w:style w:type="paragraph" w:styleId="Title">
    <w:name w:val="Title"/>
    <w:basedOn w:val="Normal"/>
    <w:next w:val="Normal"/>
    <w:link w:val="TitleChar"/>
    <w:uiPriority w:val="10"/>
    <w:qFormat/>
    <w:rsid w:val="00E164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64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646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64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6461"/>
    <w:pPr>
      <w:spacing w:before="160"/>
      <w:jc w:val="center"/>
    </w:pPr>
    <w:rPr>
      <w:i/>
      <w:iCs/>
      <w:color w:val="404040" w:themeColor="text1" w:themeTint="BF"/>
    </w:rPr>
  </w:style>
  <w:style w:type="character" w:customStyle="1" w:styleId="QuoteChar">
    <w:name w:val="Quote Char"/>
    <w:basedOn w:val="DefaultParagraphFont"/>
    <w:link w:val="Quote"/>
    <w:uiPriority w:val="29"/>
    <w:rsid w:val="00E16461"/>
    <w:rPr>
      <w:i/>
      <w:iCs/>
      <w:color w:val="404040" w:themeColor="text1" w:themeTint="BF"/>
    </w:rPr>
  </w:style>
  <w:style w:type="paragraph" w:styleId="ListParagraph">
    <w:name w:val="List Paragraph"/>
    <w:basedOn w:val="Normal"/>
    <w:uiPriority w:val="34"/>
    <w:qFormat/>
    <w:rsid w:val="00E16461"/>
    <w:pPr>
      <w:ind w:left="720"/>
      <w:contextualSpacing/>
    </w:pPr>
  </w:style>
  <w:style w:type="character" w:styleId="IntenseEmphasis">
    <w:name w:val="Intense Emphasis"/>
    <w:basedOn w:val="DefaultParagraphFont"/>
    <w:uiPriority w:val="21"/>
    <w:qFormat/>
    <w:rsid w:val="00E16461"/>
    <w:rPr>
      <w:i/>
      <w:iCs/>
      <w:color w:val="0F4761" w:themeColor="accent1" w:themeShade="BF"/>
    </w:rPr>
  </w:style>
  <w:style w:type="paragraph" w:styleId="IntenseQuote">
    <w:name w:val="Intense Quote"/>
    <w:basedOn w:val="Normal"/>
    <w:next w:val="Normal"/>
    <w:link w:val="IntenseQuoteChar"/>
    <w:uiPriority w:val="30"/>
    <w:qFormat/>
    <w:rsid w:val="00E164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16461"/>
    <w:rPr>
      <w:i/>
      <w:iCs/>
      <w:color w:val="0F4761" w:themeColor="accent1" w:themeShade="BF"/>
    </w:rPr>
  </w:style>
  <w:style w:type="character" w:styleId="IntenseReference">
    <w:name w:val="Intense Reference"/>
    <w:basedOn w:val="DefaultParagraphFont"/>
    <w:uiPriority w:val="32"/>
    <w:qFormat/>
    <w:rsid w:val="00E16461"/>
    <w:rPr>
      <w:b/>
      <w:bCs/>
      <w:smallCaps/>
      <w:color w:val="0F4761" w:themeColor="accent1" w:themeShade="BF"/>
      <w:spacing w:val="5"/>
    </w:rPr>
  </w:style>
  <w:style w:type="character" w:styleId="Hyperlink">
    <w:name w:val="Hyperlink"/>
    <w:basedOn w:val="DefaultParagraphFont"/>
    <w:uiPriority w:val="99"/>
    <w:unhideWhenUsed/>
    <w:rsid w:val="00E16461"/>
    <w:rPr>
      <w:color w:val="467886" w:themeColor="hyperlink"/>
      <w:u w:val="single"/>
    </w:rPr>
  </w:style>
  <w:style w:type="character" w:styleId="UnresolvedMention">
    <w:name w:val="Unresolved Mention"/>
    <w:basedOn w:val="DefaultParagraphFont"/>
    <w:uiPriority w:val="99"/>
    <w:semiHidden/>
    <w:unhideWhenUsed/>
    <w:rsid w:val="00E164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010348">
      <w:bodyDiv w:val="1"/>
      <w:marLeft w:val="0"/>
      <w:marRight w:val="0"/>
      <w:marTop w:val="0"/>
      <w:marBottom w:val="0"/>
      <w:divBdr>
        <w:top w:val="none" w:sz="0" w:space="0" w:color="auto"/>
        <w:left w:val="none" w:sz="0" w:space="0" w:color="auto"/>
        <w:bottom w:val="none" w:sz="0" w:space="0" w:color="auto"/>
        <w:right w:val="none" w:sz="0" w:space="0" w:color="auto"/>
      </w:divBdr>
      <w:divsChild>
        <w:div w:id="424770218">
          <w:marLeft w:val="0"/>
          <w:marRight w:val="0"/>
          <w:marTop w:val="0"/>
          <w:marBottom w:val="0"/>
          <w:divBdr>
            <w:top w:val="none" w:sz="0" w:space="0" w:color="auto"/>
            <w:left w:val="none" w:sz="0" w:space="0" w:color="auto"/>
            <w:bottom w:val="none" w:sz="0" w:space="0" w:color="auto"/>
            <w:right w:val="none" w:sz="0" w:space="0" w:color="auto"/>
          </w:divBdr>
          <w:divsChild>
            <w:div w:id="1749419500">
              <w:marLeft w:val="0"/>
              <w:marRight w:val="0"/>
              <w:marTop w:val="0"/>
              <w:marBottom w:val="0"/>
              <w:divBdr>
                <w:top w:val="none" w:sz="0" w:space="0" w:color="auto"/>
                <w:left w:val="none" w:sz="0" w:space="0" w:color="auto"/>
                <w:bottom w:val="none" w:sz="0" w:space="0" w:color="auto"/>
                <w:right w:val="none" w:sz="0" w:space="0" w:color="auto"/>
              </w:divBdr>
            </w:div>
            <w:div w:id="1027488305">
              <w:marLeft w:val="0"/>
              <w:marRight w:val="0"/>
              <w:marTop w:val="0"/>
              <w:marBottom w:val="0"/>
              <w:divBdr>
                <w:top w:val="none" w:sz="0" w:space="0" w:color="auto"/>
                <w:left w:val="none" w:sz="0" w:space="0" w:color="auto"/>
                <w:bottom w:val="none" w:sz="0" w:space="0" w:color="auto"/>
                <w:right w:val="none" w:sz="0" w:space="0" w:color="auto"/>
              </w:divBdr>
            </w:div>
            <w:div w:id="1953049517">
              <w:marLeft w:val="0"/>
              <w:marRight w:val="0"/>
              <w:marTop w:val="0"/>
              <w:marBottom w:val="0"/>
              <w:divBdr>
                <w:top w:val="none" w:sz="0" w:space="0" w:color="auto"/>
                <w:left w:val="none" w:sz="0" w:space="0" w:color="auto"/>
                <w:bottom w:val="none" w:sz="0" w:space="0" w:color="auto"/>
                <w:right w:val="none" w:sz="0" w:space="0" w:color="auto"/>
              </w:divBdr>
            </w:div>
          </w:divsChild>
        </w:div>
        <w:div w:id="1087922481">
          <w:marLeft w:val="0"/>
          <w:marRight w:val="0"/>
          <w:marTop w:val="0"/>
          <w:marBottom w:val="0"/>
          <w:divBdr>
            <w:top w:val="none" w:sz="0" w:space="0" w:color="auto"/>
            <w:left w:val="none" w:sz="0" w:space="0" w:color="auto"/>
            <w:bottom w:val="none" w:sz="0" w:space="0" w:color="auto"/>
            <w:right w:val="none" w:sz="0" w:space="0" w:color="auto"/>
          </w:divBdr>
          <w:divsChild>
            <w:div w:id="1811946710">
              <w:marLeft w:val="0"/>
              <w:marRight w:val="0"/>
              <w:marTop w:val="0"/>
              <w:marBottom w:val="0"/>
              <w:divBdr>
                <w:top w:val="none" w:sz="0" w:space="0" w:color="auto"/>
                <w:left w:val="none" w:sz="0" w:space="0" w:color="auto"/>
                <w:bottom w:val="none" w:sz="0" w:space="0" w:color="auto"/>
                <w:right w:val="none" w:sz="0" w:space="0" w:color="auto"/>
              </w:divBdr>
            </w:div>
          </w:divsChild>
        </w:div>
        <w:div w:id="1224482683">
          <w:marLeft w:val="0"/>
          <w:marRight w:val="0"/>
          <w:marTop w:val="0"/>
          <w:marBottom w:val="0"/>
          <w:divBdr>
            <w:top w:val="none" w:sz="0" w:space="0" w:color="auto"/>
            <w:left w:val="none" w:sz="0" w:space="0" w:color="auto"/>
            <w:bottom w:val="none" w:sz="0" w:space="0" w:color="auto"/>
            <w:right w:val="none" w:sz="0" w:space="0" w:color="auto"/>
          </w:divBdr>
        </w:div>
        <w:div w:id="1961958544">
          <w:marLeft w:val="0"/>
          <w:marRight w:val="0"/>
          <w:marTop w:val="0"/>
          <w:marBottom w:val="0"/>
          <w:divBdr>
            <w:top w:val="none" w:sz="0" w:space="0" w:color="auto"/>
            <w:left w:val="none" w:sz="0" w:space="0" w:color="auto"/>
            <w:bottom w:val="none" w:sz="0" w:space="0" w:color="auto"/>
            <w:right w:val="none" w:sz="0" w:space="0" w:color="auto"/>
          </w:divBdr>
        </w:div>
        <w:div w:id="685329139">
          <w:marLeft w:val="0"/>
          <w:marRight w:val="0"/>
          <w:marTop w:val="0"/>
          <w:marBottom w:val="0"/>
          <w:divBdr>
            <w:top w:val="none" w:sz="0" w:space="0" w:color="auto"/>
            <w:left w:val="none" w:sz="0" w:space="0" w:color="auto"/>
            <w:bottom w:val="none" w:sz="0" w:space="0" w:color="auto"/>
            <w:right w:val="none" w:sz="0" w:space="0" w:color="auto"/>
          </w:divBdr>
          <w:divsChild>
            <w:div w:id="1638531591">
              <w:marLeft w:val="0"/>
              <w:marRight w:val="0"/>
              <w:marTop w:val="0"/>
              <w:marBottom w:val="0"/>
              <w:divBdr>
                <w:top w:val="none" w:sz="0" w:space="0" w:color="auto"/>
                <w:left w:val="none" w:sz="0" w:space="0" w:color="auto"/>
                <w:bottom w:val="none" w:sz="0" w:space="0" w:color="auto"/>
                <w:right w:val="none" w:sz="0" w:space="0" w:color="auto"/>
              </w:divBdr>
            </w:div>
            <w:div w:id="1581329605">
              <w:marLeft w:val="0"/>
              <w:marRight w:val="0"/>
              <w:marTop w:val="0"/>
              <w:marBottom w:val="0"/>
              <w:divBdr>
                <w:top w:val="none" w:sz="0" w:space="0" w:color="auto"/>
                <w:left w:val="none" w:sz="0" w:space="0" w:color="auto"/>
                <w:bottom w:val="none" w:sz="0" w:space="0" w:color="auto"/>
                <w:right w:val="none" w:sz="0" w:space="0" w:color="auto"/>
              </w:divBdr>
            </w:div>
            <w:div w:id="167717271">
              <w:marLeft w:val="0"/>
              <w:marRight w:val="0"/>
              <w:marTop w:val="0"/>
              <w:marBottom w:val="0"/>
              <w:divBdr>
                <w:top w:val="none" w:sz="0" w:space="0" w:color="auto"/>
                <w:left w:val="none" w:sz="0" w:space="0" w:color="auto"/>
                <w:bottom w:val="none" w:sz="0" w:space="0" w:color="auto"/>
                <w:right w:val="none" w:sz="0" w:space="0" w:color="auto"/>
              </w:divBdr>
            </w:div>
          </w:divsChild>
        </w:div>
        <w:div w:id="1425683257">
          <w:marLeft w:val="0"/>
          <w:marRight w:val="0"/>
          <w:marTop w:val="0"/>
          <w:marBottom w:val="0"/>
          <w:divBdr>
            <w:top w:val="none" w:sz="0" w:space="0" w:color="auto"/>
            <w:left w:val="none" w:sz="0" w:space="0" w:color="auto"/>
            <w:bottom w:val="none" w:sz="0" w:space="0" w:color="auto"/>
            <w:right w:val="none" w:sz="0" w:space="0" w:color="auto"/>
          </w:divBdr>
          <w:divsChild>
            <w:div w:id="2030637526">
              <w:marLeft w:val="0"/>
              <w:marRight w:val="0"/>
              <w:marTop w:val="0"/>
              <w:marBottom w:val="0"/>
              <w:divBdr>
                <w:top w:val="none" w:sz="0" w:space="0" w:color="auto"/>
                <w:left w:val="none" w:sz="0" w:space="0" w:color="auto"/>
                <w:bottom w:val="none" w:sz="0" w:space="0" w:color="auto"/>
                <w:right w:val="none" w:sz="0" w:space="0" w:color="auto"/>
              </w:divBdr>
            </w:div>
            <w:div w:id="1492478901">
              <w:marLeft w:val="0"/>
              <w:marRight w:val="0"/>
              <w:marTop w:val="0"/>
              <w:marBottom w:val="0"/>
              <w:divBdr>
                <w:top w:val="none" w:sz="0" w:space="0" w:color="auto"/>
                <w:left w:val="none" w:sz="0" w:space="0" w:color="auto"/>
                <w:bottom w:val="none" w:sz="0" w:space="0" w:color="auto"/>
                <w:right w:val="none" w:sz="0" w:space="0" w:color="auto"/>
              </w:divBdr>
            </w:div>
            <w:div w:id="56919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app.go.emoneyadvisor.com/e/er?utm_campaign=CC_Best%20Practices_January_2025&amp;utm_medium=email&amp;utm_source=Eloqua&amp;s=225884627&amp;lid=6&amp;elqTrackId=F1C5B676628446EFDDD644EDB6E26EB0&amp;elq=31035ed8145d40508529f13c99df7919&amp;elqaid=5514&amp;elqat=1&amp;elqak=8AF55F50E950AE0D3E640359A7B1E33B906CB8072717ED7CCCDA859488D74088C58D" TargetMode="External"/><Relationship Id="rId3" Type="http://schemas.openxmlformats.org/officeDocument/2006/relationships/webSettings" Target="webSettings.xml"/><Relationship Id="rId7" Type="http://schemas.openxmlformats.org/officeDocument/2006/relationships/hyperlink" Target="https://app.go.emoneyadvisor.com/e/er?utm_campaign=CC_Best%20Practices_January_2025&amp;utm_medium=email&amp;utm_source=Eloqua&amp;s=225884627&amp;lid=9055&amp;elqTrackId=B9F928A30D99D8F132415776BE615171&amp;elq=31035ed8145d40508529f13c99df7919&amp;elqaid=5514&amp;elqat=1&amp;elqak=8AF540EADBB505F9C06BCB99E35B3E1449D4B8072717ED7CCCDA859488D74088C58D" TargetMode="External"/><Relationship Id="rId12" Type="http://schemas.openxmlformats.org/officeDocument/2006/relationships/hyperlink" Target="https://app.go.emoneyadvisor.com/e/er?utm_campaign=CC_Best%20Practices_January_2025&amp;utm_medium=email&amp;utm_source=Eloqua&amp;s=225884627&amp;lid=9343&amp;elqTrackId=CD52390E42AE4DBBC4FA2A9579715EB1&amp;elq=31035ed8145d40508529f13c99df7919&amp;elqaid=5514&amp;elqat=1&amp;elqak=8AF56703CAAC107A4299FBE16A79CCDD1539B8072717ED7CCCDA859488D74088C58D"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app.go.emoneyadvisor.com/e/er?utm_campaign=CC_Best%20Practices_January_2025&amp;utm_medium=email&amp;utm_source=Eloqua&amp;s=225884627&amp;lid=9055&amp;elqTrackId=8DC6D64E1607D5D5A5B7902E44B755F3&amp;elq=31035ed8145d40508529f13c99df7919&amp;elqaid=5514&amp;elqat=1&amp;elqak=8AF54C03C461D46AFB159CD515916F3706E6B8072717ED7CCCDA859488D74088C58D" TargetMode="External"/><Relationship Id="rId11" Type="http://schemas.openxmlformats.org/officeDocument/2006/relationships/hyperlink" Target="https://app.go.emoneyadvisor.com/e/er?utm_campaign=CC_Best%20Practices_January_2025&amp;utm_medium=email&amp;utm_source=Eloqua&amp;s=225884627&amp;lid=9353&amp;elqTrackId=1DF7EB482496B1345E0AA67A6949C657&amp;elq=31035ed8145d40508529f13c99df7919&amp;elqaid=5514&amp;elqat=1&amp;elqak=8AF51704D15713D8EE682F363DB804261841B8072717ED7CCCDA859488D74088C58D" TargetMode="External"/><Relationship Id="rId5" Type="http://schemas.openxmlformats.org/officeDocument/2006/relationships/image" Target="media/image2.jpeg"/><Relationship Id="rId15" Type="http://schemas.openxmlformats.org/officeDocument/2006/relationships/fontTable" Target="fontTable.xml"/><Relationship Id="rId10" Type="http://schemas.openxmlformats.org/officeDocument/2006/relationships/hyperlink" Target="https://app.go.emoneyadvisor.com/e/er?utm_campaign=CC_Best%20Practices_January_2025&amp;utm_medium=email&amp;utm_source=Eloqua&amp;s=225884627&amp;lid=9353&amp;elqTrackId=179DAC09FBB37F349E22A868C65C3922&amp;elq=31035ed8145d40508529f13c99df7919&amp;elqaid=5514&amp;elqat=1&amp;elqak=8AF51B9C4D57C68930B013D39094C333EF6DB8072717ED7CCCDA859488D74088C58D" TargetMode="External"/><Relationship Id="rId4" Type="http://schemas.openxmlformats.org/officeDocument/2006/relationships/image" Target="media/image1.png"/><Relationship Id="rId9" Type="http://schemas.openxmlformats.org/officeDocument/2006/relationships/hyperlink" Target="https://app.go.emoneyadvisor.com/e/er?utm_campaign=CC_Best%20Practices_January_2025&amp;utm_medium=email&amp;utm_source=Eloqua&amp;s=225884627&amp;lid=9055&amp;elqTrackId=B44EC5FE67915F91F4DE06299DBFDE42&amp;elq=31035ed8145d40508529f13c99df7919&amp;elqaid=5514&amp;elqat=1&amp;elqak=8AF580A73793D95FFBBF29A080103C9EDFA9B8072717ED7CCCDA859488D74088C58D" TargetMode="External"/><Relationship Id="rId14" Type="http://schemas.openxmlformats.org/officeDocument/2006/relationships/hyperlink" Target="https://emoneyadvisor.com/resources/case-studies/embracing-collaboration-with-emoney/?utm_campaign=CC_Best%20Practices_January_2025&amp;utm_medium=email&amp;utm_source=Eloqua&amp;elqTrackId=C8FC555785C305BE7C4BA091B9C32E94&amp;elq=31035ed8145d40508529f13c99df7919&amp;elqaid=5514&amp;elqat=1&amp;elqCampaignId=&amp;elqak=8AF5DFD6190A646BA6ED878C27BBA469A2B4B8072717ED7CCCDA859488D74088C58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594</Words>
  <Characters>3387</Characters>
  <Application>Microsoft Office Word</Application>
  <DocSecurity>0</DocSecurity>
  <Lines>28</Lines>
  <Paragraphs>7</Paragraphs>
  <ScaleCrop>false</ScaleCrop>
  <Company>eMoney Advisor LLC.</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Rita</dc:creator>
  <cp:keywords/>
  <dc:description/>
  <cp:lastModifiedBy>Kristina Rita</cp:lastModifiedBy>
  <cp:revision>1</cp:revision>
  <dcterms:created xsi:type="dcterms:W3CDTF">2025-06-02T13:59:00Z</dcterms:created>
  <dcterms:modified xsi:type="dcterms:W3CDTF">2025-06-02T14:00:00Z</dcterms:modified>
</cp:coreProperties>
</file>