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2F16CEF4" w14:textId="77777777" w:rsidTr="00DF4681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00B59EAB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02214A37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3918ED6" w14:textId="4AADA91E" w:rsidR="00DF4681" w:rsidRPr="00DF4681" w:rsidRDefault="00DF4681" w:rsidP="00DF4681">
                        <w:r w:rsidRPr="00DF4681">
                          <w:t>If you are having trouble reading this email, </w:t>
                        </w:r>
                        <w:hyperlink r:id="rId4" w:tooltip="View Online Version" w:history="1">
                          <w:r w:rsidRPr="00DF4681">
                            <w:rPr>
                              <w:rStyle w:val="Hyperlink"/>
                            </w:rPr>
                            <w:t>read the online version</w:t>
                          </w:r>
                        </w:hyperlink>
                        <w:r w:rsidRPr="00DF4681">
                          <w:t>.</w:t>
                        </w:r>
                      </w:p>
                    </w:tc>
                  </w:tr>
                </w:tbl>
                <w:p w14:paraId="5228C25F" w14:textId="77777777" w:rsidR="00DF4681" w:rsidRPr="00DF4681" w:rsidRDefault="00DF4681" w:rsidP="00DF4681"/>
              </w:tc>
            </w:tr>
          </w:tbl>
          <w:p w14:paraId="5294BCAB" w14:textId="77777777" w:rsidR="00DF4681" w:rsidRPr="00DF4681" w:rsidRDefault="00DF4681" w:rsidP="00DF4681"/>
        </w:tc>
      </w:tr>
    </w:tbl>
    <w:p w14:paraId="190E3BFD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30AFA1EB" w14:textId="77777777" w:rsidTr="00DF46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50663DE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5DA53AFD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31E42B02" w14:textId="77777777">
                          <w:tc>
                            <w:tcPr>
                              <w:tcW w:w="0" w:type="auto"/>
                              <w:shd w:val="clear" w:color="auto" w:fill="D4D6D7"/>
                              <w:tcMar>
                                <w:top w:w="15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220081D" w14:textId="23EF23EF" w:rsidR="00DF4681" w:rsidRPr="00DF4681" w:rsidRDefault="00DF4681" w:rsidP="00DF4681">
                              <w:r w:rsidRPr="00DF4681">
                                <w:rPr>
                                  <w:noProof/>
                                </w:rPr>
                                <w:drawing>
                                  <wp:inline distT="0" distB="0" distL="0" distR="0" wp14:anchorId="4FC3CFC1" wp14:editId="5EE6D695">
                                    <wp:extent cx="1428750" cy="387350"/>
                                    <wp:effectExtent l="0" t="0" r="0" b="0"/>
                                    <wp:docPr id="1842836814" name="Picture 6" descr="eMone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eMone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38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4681" w:rsidRPr="00DF4681" w14:paraId="1815F5FB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952C9D7" w14:textId="7BEFB2D9" w:rsidR="00DF4681" w:rsidRPr="00DF4681" w:rsidRDefault="00DF4681" w:rsidP="00DF4681">
                              <w:r w:rsidRPr="00DF4681">
                                <w:rPr>
                                  <w:noProof/>
                                </w:rPr>
                                <w:drawing>
                                  <wp:inline distT="0" distB="0" distL="0" distR="0" wp14:anchorId="2605FF8C" wp14:editId="65F826A7">
                                    <wp:extent cx="5715000" cy="1238250"/>
                                    <wp:effectExtent l="0" t="0" r="0" b="0"/>
                                    <wp:docPr id="1840350553" name="Picture 5" descr="Product Updates Newsletter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Product Updates Newsletter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23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D8A4C7E" w14:textId="77777777" w:rsidR="00DF4681" w:rsidRPr="00DF4681" w:rsidRDefault="00DF4681" w:rsidP="00DF4681"/>
                    </w:tc>
                  </w:tr>
                </w:tbl>
                <w:p w14:paraId="26D4E51D" w14:textId="77777777" w:rsidR="00DF4681" w:rsidRPr="00DF4681" w:rsidRDefault="00DF4681" w:rsidP="00DF4681"/>
              </w:tc>
            </w:tr>
          </w:tbl>
          <w:p w14:paraId="7D61EC35" w14:textId="77777777" w:rsidR="00DF4681" w:rsidRPr="00DF4681" w:rsidRDefault="00DF4681" w:rsidP="00DF4681"/>
        </w:tc>
      </w:tr>
    </w:tbl>
    <w:p w14:paraId="5CE3872A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F4681" w:rsidRPr="00DF4681" w14:paraId="2CD1FE8A" w14:textId="77777777" w:rsidTr="00DF46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1FE5252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59BAF5B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07040E40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450" w:type="dxa"/>
                                <w:left w:w="450" w:type="dxa"/>
                                <w:bottom w:w="22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3772E4B0" w14:textId="77777777" w:rsidR="001056E9" w:rsidRPr="001056E9" w:rsidRDefault="001056E9" w:rsidP="001056E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6E9">
                                <w:rPr>
                                  <w:b/>
                                  <w:bCs/>
                                </w:rPr>
                                <w:t>Accounts Page Enhancements in the Client Portal</w:t>
                              </w:r>
                            </w:p>
                            <w:p w14:paraId="6EEC318C" w14:textId="77777777" w:rsidR="00DF4681" w:rsidRPr="00DF4681" w:rsidRDefault="00DF4681" w:rsidP="00DF4681"/>
                            <w:p w14:paraId="7635BF98" w14:textId="43E45DB1" w:rsidR="00DF4681" w:rsidRPr="00DF4681" w:rsidRDefault="001056E9" w:rsidP="00DF4681">
                              <w:r w:rsidRPr="001056E9">
                                <w:t>As part of our ongoing effort to improve the aggregation experience in the Client Portal,</w:t>
                              </w:r>
                              <w:r w:rsidRPr="001056E9">
                                <w:rPr>
                                  <w:b/>
                                  <w:bCs/>
                                </w:rPr>
                                <w:t xml:space="preserve"> your clients can soon expect a more seamless, streamlined account-linking experience</w:t>
                              </w:r>
                              <w:r w:rsidRPr="001056E9">
                                <w:t xml:space="preserve"> within their </w:t>
                              </w:r>
                              <w:r w:rsidRPr="001056E9">
                                <w:rPr>
                                  <w:i/>
                                  <w:iCs/>
                                </w:rPr>
                                <w:t xml:space="preserve">Accounts </w:t>
                              </w:r>
                              <w:r w:rsidRPr="001056E9">
                                <w:t>page.</w:t>
                              </w:r>
                            </w:p>
                          </w:tc>
                        </w:tr>
                        <w:tr w:rsidR="00DF4681" w:rsidRPr="00DF4681" w14:paraId="3696F0A7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1A3739C" w14:textId="2323F1E2" w:rsidR="00DF4681" w:rsidRPr="00DF4681" w:rsidRDefault="001056E9" w:rsidP="00DF468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82DC8A" wp14:editId="7EE38765">
                                    <wp:extent cx="5943600" cy="2903855"/>
                                    <wp:effectExtent l="0" t="0" r="0" b="0"/>
                                    <wp:docPr id="196364568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29038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F4681" w:rsidRPr="00DF4681" w14:paraId="725C625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79B0D5C" w14:textId="5B5650EA" w:rsidR="00DF4681" w:rsidRPr="00DF4681" w:rsidRDefault="00DF4681" w:rsidP="00DF4681">
                              <w:hyperlink r:id="rId9" w:tgtFrame="_blank" w:tooltip="LEARN MORE" w:history="1">
                                <w:r w:rsidRPr="00DF4681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LEARN MORE</w:t>
                                </w:r>
                              </w:hyperlink>
                            </w:p>
                          </w:tc>
                        </w:tr>
                      </w:tbl>
                      <w:p w14:paraId="5D351D89" w14:textId="77777777" w:rsidR="00DF4681" w:rsidRPr="00DF4681" w:rsidRDefault="00DF4681" w:rsidP="00DF4681"/>
                    </w:tc>
                  </w:tr>
                </w:tbl>
                <w:p w14:paraId="7470A133" w14:textId="77777777" w:rsidR="00DF4681" w:rsidRPr="00DF4681" w:rsidRDefault="00DF4681" w:rsidP="00DF4681"/>
              </w:tc>
            </w:tr>
          </w:tbl>
          <w:p w14:paraId="34D00EBB" w14:textId="77777777" w:rsidR="00DF4681" w:rsidRPr="00DF4681" w:rsidRDefault="00DF4681" w:rsidP="00DF4681"/>
        </w:tc>
      </w:tr>
    </w:tbl>
    <w:p w14:paraId="0F1ECF79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1541D781" w14:textId="77777777" w:rsidTr="00DF46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4A96639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73AC592B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53C62C09" w14:textId="77777777">
                          <w:tc>
                            <w:tcPr>
                              <w:tcW w:w="0" w:type="auto"/>
                              <w:shd w:val="clear" w:color="auto" w:fill="F2F5FD"/>
                              <w:tcMar>
                                <w:top w:w="225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1A5C6032" w14:textId="77777777" w:rsidR="00DF4681" w:rsidRPr="00DF4681" w:rsidRDefault="00DF4681" w:rsidP="00DF4681"/>
                            <w:p w14:paraId="62395990" w14:textId="77777777" w:rsidR="001056E9" w:rsidRPr="001056E9" w:rsidRDefault="001056E9" w:rsidP="001056E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6E9">
                                <w:rPr>
                                  <w:b/>
                                  <w:bCs/>
                                </w:rPr>
                                <w:t xml:space="preserve">The One Big Beautiful Bill Act </w:t>
                              </w:r>
                            </w:p>
                            <w:p w14:paraId="758A795C" w14:textId="77777777" w:rsidR="00DF4681" w:rsidRPr="00DF4681" w:rsidRDefault="00DF4681" w:rsidP="00DF4681"/>
                            <w:p w14:paraId="392B78CD" w14:textId="2478AA16" w:rsidR="00DF4681" w:rsidRPr="00DF4681" w:rsidRDefault="001056E9" w:rsidP="00DF4681">
                              <w:r w:rsidRPr="001056E9">
                                <w:t xml:space="preserve">The 2025 Budget Reconciliation Bill introduces changes that could impact client strategies. This post will serve as your central hub for tracking how and when these updates go live in </w:t>
                              </w:r>
                              <w:proofErr w:type="spellStart"/>
                              <w:r w:rsidRPr="001056E9">
                                <w:t>eMoney</w:t>
                              </w:r>
                              <w:proofErr w:type="spellEnd"/>
                              <w:r w:rsidRPr="001056E9">
                                <w:t>. We recommend bookmarking this page to stay informed, as it will be updated regularly as new functionality becomes available. </w:t>
                              </w:r>
                              <w:hyperlink r:id="rId10" w:tgtFrame="_blank" w:history="1">
                                <w:r w:rsidRPr="001056E9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Learn more.</w:t>
                                </w:r>
                              </w:hyperlink>
                              <w:r w:rsidRPr="00DF4681">
                                <w:t xml:space="preserve"> </w:t>
                              </w:r>
                            </w:p>
                          </w:tc>
                        </w:tr>
                      </w:tbl>
                      <w:p w14:paraId="74942DC2" w14:textId="77777777" w:rsidR="00DF4681" w:rsidRPr="00DF4681" w:rsidRDefault="00DF4681" w:rsidP="00DF4681"/>
                    </w:tc>
                  </w:tr>
                </w:tbl>
                <w:p w14:paraId="35E5C3D4" w14:textId="77777777" w:rsidR="00DF4681" w:rsidRPr="00DF4681" w:rsidRDefault="00DF4681" w:rsidP="00DF4681"/>
              </w:tc>
            </w:tr>
          </w:tbl>
          <w:p w14:paraId="0676C3CA" w14:textId="77777777" w:rsidR="00DF4681" w:rsidRPr="00DF4681" w:rsidRDefault="00DF4681" w:rsidP="00DF4681"/>
        </w:tc>
      </w:tr>
    </w:tbl>
    <w:p w14:paraId="19F52F68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0F07391F" w14:textId="77777777" w:rsidTr="00DF46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28B28E9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502E656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7D915BE6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225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6E285D74" w14:textId="2765E428" w:rsidR="00DF4681" w:rsidRPr="001056E9" w:rsidRDefault="001056E9" w:rsidP="00DF46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NEW</w:t>
                              </w:r>
                              <w:r w:rsidRPr="001056E9">
                                <w:rPr>
                                  <w:b/>
                                  <w:bCs/>
                                </w:rPr>
                                <w:t xml:space="preserve"> CONNECTIONS AVAILABLE</w:t>
                              </w:r>
                            </w:p>
                            <w:p w14:paraId="1D961F95" w14:textId="77777777" w:rsidR="00DF4681" w:rsidRPr="00DF4681" w:rsidRDefault="00DF4681" w:rsidP="00DF4681"/>
                            <w:p w14:paraId="5C3B5BE0" w14:textId="4CA58945" w:rsidR="00DF4681" w:rsidRDefault="001056E9" w:rsidP="00DF46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6E9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​</w:t>
                              </w:r>
                              <w:r w:rsidRPr="001056E9">
                                <w:rPr>
                                  <w:b/>
                                  <w:bCs/>
                                </w:rPr>
                                <w:t>#1 Market Leader in Aggregation Tools</w:t>
                              </w:r>
                            </w:p>
                            <w:p w14:paraId="2FA7A930" w14:textId="77777777" w:rsidR="001056E9" w:rsidRPr="00DF4681" w:rsidRDefault="001056E9" w:rsidP="00DF4681"/>
                            <w:p w14:paraId="0052A505" w14:textId="3E98EAED" w:rsidR="00DF4681" w:rsidRPr="00DF4681" w:rsidRDefault="001056E9" w:rsidP="00DF4681">
                              <w:r w:rsidRPr="001056E9">
                                <w:t xml:space="preserve">As the leader in data aggregation, we remain focused on helping you unlock the full potential of your clients’ financial data. See what we’ve been up to this quarter. </w:t>
                              </w:r>
                              <w:hyperlink r:id="rId11" w:tgtFrame="_blank" w:history="1">
                                <w:r w:rsidRPr="001056E9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Learn more.</w:t>
                                </w:r>
                              </w:hyperlink>
                              <w:r w:rsidRPr="00DF4681">
                                <w:t xml:space="preserve"> </w:t>
                              </w:r>
                            </w:p>
                          </w:tc>
                        </w:tr>
                      </w:tbl>
                      <w:p w14:paraId="4C7F7167" w14:textId="77777777" w:rsidR="00DF4681" w:rsidRPr="00DF4681" w:rsidRDefault="00DF4681" w:rsidP="00DF4681"/>
                    </w:tc>
                  </w:tr>
                </w:tbl>
                <w:p w14:paraId="1EF49987" w14:textId="77777777" w:rsidR="00DF4681" w:rsidRPr="00DF4681" w:rsidRDefault="00DF4681" w:rsidP="00DF4681"/>
              </w:tc>
            </w:tr>
          </w:tbl>
          <w:p w14:paraId="6515C3D9" w14:textId="77777777" w:rsidR="00DF4681" w:rsidRPr="00DF4681" w:rsidRDefault="00DF4681" w:rsidP="00DF4681"/>
        </w:tc>
      </w:tr>
    </w:tbl>
    <w:p w14:paraId="23271336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5F5116DC" w14:textId="77777777" w:rsidTr="00DF4681">
        <w:tc>
          <w:tcPr>
            <w:tcW w:w="0" w:type="auto"/>
            <w:shd w:val="clear" w:color="auto" w:fill="F2F5FD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5FE176D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3BE490AB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5459F04C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225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2C22D6DC" w14:textId="77777777" w:rsidR="001056E9" w:rsidRPr="001056E9" w:rsidRDefault="001056E9" w:rsidP="001056E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6E9">
                                <w:rPr>
                                  <w:b/>
                                  <w:bCs/>
                                </w:rPr>
                                <w:t>NOW AVAILABLE</w:t>
                              </w:r>
                            </w:p>
                            <w:p w14:paraId="27BA114A" w14:textId="77777777" w:rsidR="00DF4681" w:rsidRPr="00DF4681" w:rsidRDefault="00DF4681" w:rsidP="00DF4681"/>
                            <w:p w14:paraId="28360718" w14:textId="566A6151" w:rsidR="00DF4681" w:rsidRPr="001056E9" w:rsidRDefault="001056E9" w:rsidP="00DF46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6E9">
                                <w:rPr>
                                  <w:b/>
                                  <w:bCs/>
                                </w:rPr>
                                <w:t>Client Portal Updates for an Enhanced Experience</w:t>
                              </w:r>
                              <w:r w:rsidR="00DF4681" w:rsidRPr="00DF468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​</w:t>
                              </w:r>
                            </w:p>
                            <w:p w14:paraId="3BBAFAF0" w14:textId="77777777" w:rsidR="00DF4681" w:rsidRPr="00DF4681" w:rsidRDefault="00DF4681" w:rsidP="00DF4681"/>
                            <w:p w14:paraId="2DE8BAFB" w14:textId="3F052769" w:rsidR="00DF4681" w:rsidRPr="00DF4681" w:rsidRDefault="001056E9" w:rsidP="00DF4681">
                              <w:r w:rsidRPr="001056E9">
                                <w:lastRenderedPageBreak/>
                                <w:t xml:space="preserve">We’re investing in the future of </w:t>
                              </w:r>
                              <w:proofErr w:type="gramStart"/>
                              <w:r w:rsidRPr="001056E9">
                                <w:t>the Client</w:t>
                              </w:r>
                              <w:proofErr w:type="gramEnd"/>
                              <w:r w:rsidRPr="001056E9">
                                <w:t xml:space="preserve"> Portal with enhanced capabilities, new features, and the retirement of outdated tools to deliver a more modern, efficient experience for advisors and their clients. </w:t>
                              </w:r>
                              <w:hyperlink r:id="rId12" w:anchor="Improvements-and-Discontinuations" w:tgtFrame="_blank" w:history="1">
                                <w:r w:rsidRPr="001056E9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Learn more.</w:t>
                                </w:r>
                              </w:hyperlink>
                              <w:r w:rsidRPr="00DF4681">
                                <w:t xml:space="preserve"> </w:t>
                              </w:r>
                            </w:p>
                          </w:tc>
                        </w:tr>
                      </w:tbl>
                      <w:p w14:paraId="19646788" w14:textId="77777777" w:rsidR="00DF4681" w:rsidRPr="00DF4681" w:rsidRDefault="00DF4681" w:rsidP="00DF4681"/>
                    </w:tc>
                  </w:tr>
                </w:tbl>
                <w:p w14:paraId="4A8EB5CE" w14:textId="77777777" w:rsidR="00DF4681" w:rsidRPr="00DF4681" w:rsidRDefault="00DF4681" w:rsidP="00DF4681"/>
              </w:tc>
            </w:tr>
          </w:tbl>
          <w:p w14:paraId="6798786F" w14:textId="77777777" w:rsidR="00DF4681" w:rsidRPr="00DF4681" w:rsidRDefault="00DF4681" w:rsidP="00DF4681"/>
        </w:tc>
      </w:tr>
    </w:tbl>
    <w:p w14:paraId="44E6DC46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3EE4DE4C" w14:textId="77777777" w:rsidTr="00DF4681">
        <w:tc>
          <w:tcPr>
            <w:tcW w:w="0" w:type="auto"/>
            <w:shd w:val="clear" w:color="auto" w:fill="FDFDFD"/>
            <w:vAlign w:val="center"/>
            <w:hideMark/>
          </w:tcPr>
          <w:p w14:paraId="211B3F71" w14:textId="77777777" w:rsidR="001056E9" w:rsidRDefault="001056E9" w:rsidP="001056E9">
            <w:pPr>
              <w:rPr>
                <w:b/>
                <w:bCs/>
              </w:rPr>
            </w:pPr>
          </w:p>
          <w:p w14:paraId="17F09A4A" w14:textId="15C35A65" w:rsidR="001056E9" w:rsidRDefault="001056E9" w:rsidP="001056E9">
            <w:pPr>
              <w:ind w:left="450"/>
              <w:rPr>
                <w:b/>
                <w:bCs/>
              </w:rPr>
            </w:pPr>
            <w:r w:rsidRPr="001056E9">
              <w:rPr>
                <w:b/>
                <w:bCs/>
              </w:rPr>
              <w:t>NOW AVAILABLE</w:t>
            </w:r>
          </w:p>
          <w:p w14:paraId="60C0F9CE" w14:textId="55849C13" w:rsidR="001056E9" w:rsidRDefault="001056E9" w:rsidP="001056E9">
            <w:pPr>
              <w:ind w:left="450"/>
              <w:rPr>
                <w:b/>
                <w:bCs/>
              </w:rPr>
            </w:pPr>
            <w:proofErr w:type="spellStart"/>
            <w:r w:rsidRPr="001056E9">
              <w:rPr>
                <w:b/>
                <w:bCs/>
              </w:rPr>
              <w:t>eMoney</w:t>
            </w:r>
            <w:proofErr w:type="spellEnd"/>
            <w:r w:rsidRPr="001056E9">
              <w:rPr>
                <w:b/>
                <w:bCs/>
              </w:rPr>
              <w:t xml:space="preserve"> Now Integrates with Jump AI and Black Diamond</w:t>
            </w:r>
          </w:p>
          <w:p w14:paraId="7DE2F294" w14:textId="77777777" w:rsidR="001056E9" w:rsidRDefault="001056E9" w:rsidP="001056E9">
            <w:pPr>
              <w:ind w:left="450"/>
              <w:rPr>
                <w:b/>
                <w:bCs/>
              </w:rPr>
            </w:pPr>
          </w:p>
          <w:p w14:paraId="21227B2F" w14:textId="18CED474" w:rsidR="001056E9" w:rsidRDefault="001056E9" w:rsidP="001056E9">
            <w:pPr>
              <w:ind w:left="450"/>
            </w:pPr>
            <w:r w:rsidRPr="001056E9">
              <w:t xml:space="preserve">We're expanding the way </w:t>
            </w:r>
            <w:proofErr w:type="spellStart"/>
            <w:r w:rsidRPr="001056E9">
              <w:t>eMoney</w:t>
            </w:r>
            <w:proofErr w:type="spellEnd"/>
            <w:r w:rsidRPr="001056E9">
              <w:t xml:space="preserve"> can support your business through new integrations built by our technology partners.</w:t>
            </w:r>
            <w:r w:rsidRPr="001056E9">
              <w:rPr>
                <w:b/>
                <w:bCs/>
              </w:rPr>
              <w:t xml:space="preserve"> </w:t>
            </w:r>
            <w:hyperlink r:id="rId13" w:tgtFrame="_blank" w:history="1">
              <w:r w:rsidRPr="001056E9">
                <w:rPr>
                  <w:rStyle w:val="Hyperlink"/>
                  <w:b/>
                  <w:bCs/>
                </w:rPr>
                <w:t>Learn more.</w:t>
              </w:r>
            </w:hyperlink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0E041C16" w14:textId="77777777">
              <w:tc>
                <w:tcPr>
                  <w:tcW w:w="0" w:type="auto"/>
                  <w:vAlign w:val="center"/>
                  <w:hideMark/>
                </w:tcPr>
                <w:p w14:paraId="7E684DA7" w14:textId="77777777" w:rsidR="001056E9" w:rsidRDefault="001056E9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3327E085" w14:textId="77777777">
                    <w:tc>
                      <w:tcPr>
                        <w:tcW w:w="0" w:type="auto"/>
                        <w:hideMark/>
                      </w:tcPr>
                      <w:p w14:paraId="595DCC02" w14:textId="77777777" w:rsidR="001056E9" w:rsidRDefault="001056E9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0"/>
                        </w:tblGrid>
                        <w:tr w:rsidR="00DF4681" w:rsidRPr="00DF4681" w14:paraId="17DCB7B9" w14:textId="77777777">
                          <w:tc>
                            <w:tcPr>
                              <w:tcW w:w="0" w:type="auto"/>
                              <w:shd w:val="clear" w:color="auto" w:fill="F2F5FD"/>
                              <w:tcMar>
                                <w:top w:w="300" w:type="dxa"/>
                                <w:left w:w="450" w:type="dxa"/>
                                <w:bottom w:w="4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79D47EA" w14:textId="6C7C7D65" w:rsidR="00DF4681" w:rsidRPr="00DF4681" w:rsidRDefault="00DF4681" w:rsidP="00DF4681">
                              <w:hyperlink r:id="rId14" w:tgtFrame="_blank" w:tooltip="LEARN MORE" w:history="1">
                                <w:r w:rsidRPr="00DF4681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SEE ALL PRODUCT UPDATES</w:t>
                                </w:r>
                              </w:hyperlink>
                            </w:p>
                          </w:tc>
                        </w:tr>
                      </w:tbl>
                      <w:p w14:paraId="0980F446" w14:textId="77777777" w:rsidR="00DF4681" w:rsidRPr="00DF4681" w:rsidRDefault="00DF4681" w:rsidP="00DF4681"/>
                    </w:tc>
                  </w:tr>
                </w:tbl>
                <w:p w14:paraId="1BDD25E9" w14:textId="77777777" w:rsidR="00DF4681" w:rsidRPr="00DF4681" w:rsidRDefault="00DF4681" w:rsidP="00DF4681"/>
              </w:tc>
            </w:tr>
          </w:tbl>
          <w:p w14:paraId="4EB6338F" w14:textId="77777777" w:rsidR="00DF4681" w:rsidRPr="00DF4681" w:rsidRDefault="00DF4681" w:rsidP="00DF4681"/>
        </w:tc>
      </w:tr>
    </w:tbl>
    <w:p w14:paraId="6D30F248" w14:textId="77777777" w:rsidR="00DF4681" w:rsidRPr="00DF4681" w:rsidRDefault="00DF4681" w:rsidP="00DF4681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F4681" w:rsidRPr="00DF4681" w14:paraId="3340CFDE" w14:textId="77777777" w:rsidTr="00DF46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F4681" w:rsidRPr="00DF4681" w14:paraId="0F324D1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F4681" w:rsidRPr="00DF4681" w14:paraId="0107D7A6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F4681" w:rsidRPr="00DF4681" w14:paraId="6565EF84" w14:textId="77777777">
                          <w:tc>
                            <w:tcPr>
                              <w:tcW w:w="0" w:type="auto"/>
                              <w:shd w:val="clear" w:color="auto" w:fill="D5D5D5"/>
                              <w:tcMar>
                                <w:top w:w="30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9CBAAD9" w14:textId="77777777" w:rsidR="00DF4681" w:rsidRPr="00DF4681" w:rsidRDefault="00DF4681" w:rsidP="00DF4681">
                              <w:pPr>
                                <w:divId w:val="203149"/>
                              </w:pPr>
                              <w:proofErr w:type="spellStart"/>
                              <w:r w:rsidRPr="00DF4681">
                                <w:t>eMoney</w:t>
                              </w:r>
                              <w:proofErr w:type="spellEnd"/>
                              <w:r w:rsidRPr="00DF4681">
                                <w:t xml:space="preserve"> Advisor, LLC </w:t>
                              </w:r>
                              <w:r w:rsidRPr="00DF4681">
                                <w:br/>
                                <w:t>Four Radnor Corporate Center, 100 Matsonford Road, Suite 220, Radnor, PA 19087 888-362-4612</w:t>
                              </w:r>
                            </w:p>
                          </w:tc>
                        </w:tr>
                      </w:tbl>
                      <w:p w14:paraId="12A28CFF" w14:textId="77777777" w:rsidR="00DF4681" w:rsidRPr="00DF4681" w:rsidRDefault="00DF4681" w:rsidP="00DF4681"/>
                    </w:tc>
                  </w:tr>
                </w:tbl>
                <w:p w14:paraId="24E8B9F2" w14:textId="77777777" w:rsidR="00DF4681" w:rsidRPr="00DF4681" w:rsidRDefault="00DF4681" w:rsidP="00DF4681"/>
              </w:tc>
            </w:tr>
          </w:tbl>
          <w:p w14:paraId="17C31D1E" w14:textId="77777777" w:rsidR="00DF4681" w:rsidRPr="00DF4681" w:rsidRDefault="00DF4681" w:rsidP="00DF4681"/>
        </w:tc>
      </w:tr>
    </w:tbl>
    <w:p w14:paraId="2804E26D" w14:textId="77777777" w:rsidR="00DF4681" w:rsidRDefault="00DF4681"/>
    <w:sectPr w:rsidR="00DF4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1"/>
    <w:rsid w:val="001056E9"/>
    <w:rsid w:val="00442BBD"/>
    <w:rsid w:val="00A5036B"/>
    <w:rsid w:val="00AD6461"/>
    <w:rsid w:val="00DF4681"/>
    <w:rsid w:val="00E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21D"/>
  <w15:chartTrackingRefBased/>
  <w15:docId w15:val="{86F923F0-6BB0-4EF7-AF17-E7882D0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log.emoneyadvisor.com/emoney-updates-q3-202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blog.emoneyadvisor.com/emoney-updates-q3-2025/?elqTrackId=C20F94A839A4CBFAF52BB5E58840FA60&amp;elqTrack=tru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pp.go.emoneyadvisor.com/e/er?utm_campaign=CC_L1_Product_Update_June_2025&amp;utm_medium=email&amp;utm_source=Eloqua&amp;s=225884627&amp;lid=9554&amp;elqTrackId=4D8A4297F05A2ED9ADAE0A02E184A395&amp;elq=5d1a012f18c54beda499c0cbb27b2e39&amp;elqaid=5825&amp;elqat=1&amp;elqak=8AF5859801EAE09272FBFB496A89564606A8B4A7CBB418B6AF7589F41191E67E6ED9" TargetMode="External"/><Relationship Id="rId11" Type="http://schemas.openxmlformats.org/officeDocument/2006/relationships/hyperlink" Target="https://blog.emoneyadvisor.com/emoney-updates-q3-202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log.emoneyadvisor.com/product-updates/one-big-beautiful-bill-act-2025-budget-reconciliation-bill/" TargetMode="External"/><Relationship Id="rId4" Type="http://schemas.openxmlformats.org/officeDocument/2006/relationships/hyperlink" Target="https://app.go.emoneyadvisor.com/e/es?s=225884627&amp;e=271794&amp;elqTrackId=64bbcdbe8888401c830844e2f7189fd5&amp;elq=775302a38e9645b38e1948d5f23e2e88&amp;elqaid=5927&amp;elqat=1&amp;elqak=8AF5704CE7AC91401889BCE295F4A60D38345B2035FA2E0748C90DC757A4E32F7B76" TargetMode="External"/><Relationship Id="rId9" Type="http://schemas.openxmlformats.org/officeDocument/2006/relationships/hyperlink" Target="https://blog.emoneyadvisor.com/emoney-updates-q3-2025/" TargetMode="External"/><Relationship Id="rId14" Type="http://schemas.openxmlformats.org/officeDocument/2006/relationships/hyperlink" Target="https://blog.emoneyadvisor.com/emoney-updates-q3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2206</Characters>
  <Application>Microsoft Office Word</Application>
  <DocSecurity>0</DocSecurity>
  <Lines>18</Lines>
  <Paragraphs>5</Paragraphs>
  <ScaleCrop>false</ScaleCrop>
  <Company>eMoney Advisor LLC.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Rita</dc:creator>
  <cp:keywords/>
  <dc:description/>
  <cp:lastModifiedBy>Sabrina Eisen</cp:lastModifiedBy>
  <cp:revision>4</cp:revision>
  <dcterms:created xsi:type="dcterms:W3CDTF">2025-07-29T15:13:00Z</dcterms:created>
  <dcterms:modified xsi:type="dcterms:W3CDTF">2025-07-29T15:23:00Z</dcterms:modified>
</cp:coreProperties>
</file>