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66D0" w14:textId="39046123" w:rsidR="001B288C" w:rsidRDefault="001B288C" w:rsidP="001B288C">
      <w:r>
        <w:rPr>
          <w:b/>
          <w:bCs/>
        </w:rPr>
        <w:t xml:space="preserve">Subject Line: </w:t>
      </w:r>
      <w:r w:rsidRPr="001B288C">
        <w:t xml:space="preserve">Home Office News: Strengthening Adoption, Product Enhancements, and </w:t>
      </w:r>
      <w:proofErr w:type="spellStart"/>
      <w:r w:rsidRPr="001B288C">
        <w:t>CoPlanner</w:t>
      </w:r>
      <w:proofErr w:type="spellEnd"/>
      <w:r w:rsidRPr="001B288C">
        <w:t xml:space="preserve"> Insights</w:t>
      </w:r>
    </w:p>
    <w:p w14:paraId="7C105FC2" w14:textId="77777777" w:rsidR="001B288C" w:rsidRPr="001B288C" w:rsidRDefault="001B288C" w:rsidP="001B288C">
      <w:pPr>
        <w:rPr>
          <w:b/>
          <w:bCs/>
        </w:rPr>
      </w:pPr>
    </w:p>
    <w:p w14:paraId="09DAF645" w14:textId="77777777" w:rsidR="001B288C" w:rsidRPr="001B288C" w:rsidRDefault="001B288C" w:rsidP="001B288C">
      <w:r w:rsidRPr="001B288C">
        <w:rPr>
          <w:b/>
          <w:bCs/>
        </w:rPr>
        <w:t>Key Trends Shaping the Future of Financial Planning</w:t>
      </w:r>
    </w:p>
    <w:p w14:paraId="30266579" w14:textId="77777777" w:rsidR="001B288C" w:rsidRPr="001B288C" w:rsidRDefault="001B288C" w:rsidP="001B288C">
      <w:hyperlink r:id="rId4" w:tgtFrame="_blank" w:tooltip="EXPLORE THE FUTURE OF PLANNING" w:history="1">
        <w:r w:rsidRPr="001B288C">
          <w:rPr>
            <w:rStyle w:val="Hyperlink"/>
            <w:b/>
            <w:bCs/>
          </w:rPr>
          <w:t>EXPLORE THE FUTURE</w:t>
        </w:r>
        <w:r w:rsidRPr="001B288C">
          <w:rPr>
            <w:rStyle w:val="Hyperlink"/>
            <w:b/>
            <w:bCs/>
          </w:rPr>
          <w:t xml:space="preserve"> </w:t>
        </w:r>
        <w:r w:rsidRPr="001B288C">
          <w:rPr>
            <w:rStyle w:val="Hyperlink"/>
            <w:b/>
            <w:bCs/>
          </w:rPr>
          <w:t>OF PLANNING</w:t>
        </w:r>
      </w:hyperlink>
    </w:p>
    <w:p w14:paraId="4C0F9378" w14:textId="27F621AB" w:rsidR="001B288C" w:rsidRPr="001B288C" w:rsidRDefault="001B288C" w:rsidP="001B288C">
      <w:r w:rsidRPr="001B288C">
        <w:t>The true value of technology comes from consistent, effective use. This blog highlights key considerations that support stronger adoption, better alignment, and sustained results across enterprise teams. Financial planning is entering a new era shaped by technology, human insight, and shifting advisor expectations. This blog post explores the key trends shaping the future of financial planning and how technology can elevate advisors' impact while preserving the human connection that clients value most.</w:t>
      </w:r>
    </w:p>
    <w:p w14:paraId="0C994B7F" w14:textId="77777777" w:rsidR="001B288C" w:rsidRPr="001B288C" w:rsidRDefault="001B288C" w:rsidP="001B288C">
      <w:r w:rsidRPr="001B288C">
        <w:rPr>
          <w:b/>
          <w:bCs/>
        </w:rPr>
        <w:t>More Highlights</w:t>
      </w:r>
    </w:p>
    <w:p w14:paraId="6FF20600" w14:textId="77777777" w:rsidR="001B288C" w:rsidRPr="001B288C" w:rsidRDefault="001B288C" w:rsidP="001B288C">
      <w:pPr>
        <w:ind w:left="360"/>
      </w:pPr>
      <w:r w:rsidRPr="001B288C">
        <w:t>PRODUCT UPDATE</w:t>
      </w:r>
    </w:p>
    <w:p w14:paraId="32DD170D" w14:textId="77777777" w:rsidR="001B288C" w:rsidRPr="001B288C" w:rsidRDefault="001B288C" w:rsidP="001B288C">
      <w:pPr>
        <w:ind w:left="360"/>
      </w:pPr>
      <w:hyperlink r:id="rId5" w:tgtFrame="_blank" w:history="1">
        <w:r w:rsidRPr="001B288C">
          <w:rPr>
            <w:rStyle w:val="Hyperlink"/>
          </w:rPr>
          <w:t>Show Retirement Income Estimates Aligned with Today’s Annuity Assumptions</w:t>
        </w:r>
      </w:hyperlink>
    </w:p>
    <w:p w14:paraId="66CA1AAC" w14:textId="77777777" w:rsidR="001B288C" w:rsidRDefault="001B288C" w:rsidP="001B288C">
      <w:pPr>
        <w:ind w:left="360"/>
      </w:pPr>
      <w:proofErr w:type="gramStart"/>
      <w:r w:rsidRPr="001B288C">
        <w:t>Beginning this</w:t>
      </w:r>
      <w:proofErr w:type="gramEnd"/>
      <w:r w:rsidRPr="001B288C">
        <w:t xml:space="preserve"> month, annuity projections will reflect updated assumptions, including a shift from 2000 to 2012 mortality tables and a reduction in the default management fee from 5% to 2.5%. Together, these updates improve alignment with current market practices and produce more realistic annuitization projections for a small subset of clients, assuming future annuitization.</w:t>
      </w:r>
    </w:p>
    <w:p w14:paraId="0112CE1B" w14:textId="77777777" w:rsidR="001B288C" w:rsidRPr="001B288C" w:rsidRDefault="001B288C" w:rsidP="001B288C">
      <w:pPr>
        <w:ind w:left="360"/>
      </w:pPr>
    </w:p>
    <w:p w14:paraId="726E273A" w14:textId="77777777" w:rsidR="001B288C" w:rsidRPr="001B288C" w:rsidRDefault="001B288C" w:rsidP="001B288C">
      <w:pPr>
        <w:ind w:left="360"/>
      </w:pPr>
      <w:r w:rsidRPr="001B288C">
        <w:t>PRODUCT UPDATE</w:t>
      </w:r>
    </w:p>
    <w:p w14:paraId="06E3C7BF" w14:textId="77777777" w:rsidR="001B288C" w:rsidRPr="001B288C" w:rsidRDefault="001B288C" w:rsidP="001B288C">
      <w:pPr>
        <w:ind w:left="360"/>
      </w:pPr>
      <w:r w:rsidRPr="001B288C">
        <w:t>Expand Interactive Reports in Decision Center</w:t>
      </w:r>
    </w:p>
    <w:p w14:paraId="6B729E9C" w14:textId="77777777" w:rsidR="001B288C" w:rsidRDefault="001B288C" w:rsidP="001B288C">
      <w:pPr>
        <w:ind w:left="360"/>
      </w:pPr>
      <w:r w:rsidRPr="001B288C">
        <w:t xml:space="preserve">See More of What Matters: Present interactive reports with greater focus during client planning conversations. Advisors can now collapse the left </w:t>
      </w:r>
      <w:r w:rsidRPr="001B288C">
        <w:rPr>
          <w:i/>
          <w:iCs/>
        </w:rPr>
        <w:t xml:space="preserve">Technique </w:t>
      </w:r>
      <w:r w:rsidRPr="001B288C">
        <w:t xml:space="preserve">panel in </w:t>
      </w:r>
      <w:r w:rsidRPr="001B288C">
        <w:rPr>
          <w:i/>
          <w:iCs/>
        </w:rPr>
        <w:t xml:space="preserve">Decision Center </w:t>
      </w:r>
      <w:r w:rsidRPr="001B288C">
        <w:t>to expand chart</w:t>
      </w:r>
      <w:r w:rsidRPr="001B288C">
        <w:noBreakHyphen/>
        <w:t>viewing space when it matters most.</w:t>
      </w:r>
    </w:p>
    <w:p w14:paraId="59131B2C" w14:textId="77777777" w:rsidR="001B288C" w:rsidRPr="001B288C" w:rsidRDefault="001B288C" w:rsidP="001B288C">
      <w:pPr>
        <w:ind w:left="360"/>
      </w:pPr>
    </w:p>
    <w:p w14:paraId="273BB7AA" w14:textId="77777777" w:rsidR="001B288C" w:rsidRPr="001B288C" w:rsidRDefault="001B288C" w:rsidP="001B288C">
      <w:pPr>
        <w:ind w:left="360"/>
      </w:pPr>
      <w:r w:rsidRPr="001B288C">
        <w:t>PODCAST</w:t>
      </w:r>
    </w:p>
    <w:p w14:paraId="3901CB4D" w14:textId="77777777" w:rsidR="001B288C" w:rsidRPr="001B288C" w:rsidRDefault="001B288C" w:rsidP="001B288C">
      <w:pPr>
        <w:ind w:left="360"/>
      </w:pPr>
      <w:hyperlink r:id="rId6" w:tgtFrame="_blank" w:history="1">
        <w:proofErr w:type="spellStart"/>
        <w:r w:rsidRPr="001B288C">
          <w:rPr>
            <w:rStyle w:val="Hyperlink"/>
          </w:rPr>
          <w:t>CoPlanner</w:t>
        </w:r>
        <w:proofErr w:type="spellEnd"/>
        <w:r w:rsidRPr="001B288C">
          <w:rPr>
            <w:rStyle w:val="Hyperlink"/>
          </w:rPr>
          <w:t>: Keeping Planning Personalized</w:t>
        </w:r>
      </w:hyperlink>
    </w:p>
    <w:p w14:paraId="14E11AF2" w14:textId="77777777" w:rsidR="001B288C" w:rsidRPr="001B288C" w:rsidRDefault="001B288C" w:rsidP="001B288C">
      <w:pPr>
        <w:ind w:left="360"/>
      </w:pPr>
      <w:r w:rsidRPr="001B288C">
        <w:t xml:space="preserve">Meet the newest </w:t>
      </w:r>
      <w:proofErr w:type="spellStart"/>
      <w:r w:rsidRPr="001B288C">
        <w:t>eMoney</w:t>
      </w:r>
      <w:proofErr w:type="spellEnd"/>
      <w:r w:rsidRPr="001B288C">
        <w:t xml:space="preserve"> planning tool—</w:t>
      </w:r>
      <w:proofErr w:type="spellStart"/>
      <w:r w:rsidRPr="001B288C">
        <w:t>CoPlanner</w:t>
      </w:r>
      <w:proofErr w:type="spellEnd"/>
      <w:r w:rsidRPr="001B288C">
        <w:t xml:space="preserve">. Sit down with Director of Product Management Advisor Experience, Josh Belfiore, to learn how this holistic planning tool </w:t>
      </w:r>
      <w:r w:rsidRPr="001B288C">
        <w:lastRenderedPageBreak/>
        <w:t>can lend itself to efficient planning, a strong rapport with clients, and insightful data gathering. </w:t>
      </w:r>
    </w:p>
    <w:p w14:paraId="3D12C0B2" w14:textId="77777777" w:rsidR="00CD0318" w:rsidRDefault="00CD0318"/>
    <w:sectPr w:rsidR="00CD0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8C"/>
    <w:rsid w:val="001B288C"/>
    <w:rsid w:val="003507A4"/>
    <w:rsid w:val="00CD0318"/>
    <w:rsid w:val="00E50C3C"/>
    <w:rsid w:val="00F5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EC48C"/>
  <w15:chartTrackingRefBased/>
  <w15:docId w15:val="{91B73236-D9D8-42D8-9E1D-4746DCC0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8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8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8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8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8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8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8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88C"/>
    <w:rPr>
      <w:rFonts w:eastAsiaTheme="majorEastAsia" w:cstheme="majorBidi"/>
      <w:color w:val="272727" w:themeColor="text1" w:themeTint="D8"/>
    </w:rPr>
  </w:style>
  <w:style w:type="paragraph" w:styleId="Title">
    <w:name w:val="Title"/>
    <w:basedOn w:val="Normal"/>
    <w:next w:val="Normal"/>
    <w:link w:val="TitleChar"/>
    <w:uiPriority w:val="10"/>
    <w:qFormat/>
    <w:rsid w:val="001B2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8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88C"/>
    <w:pPr>
      <w:spacing w:before="160"/>
      <w:jc w:val="center"/>
    </w:pPr>
    <w:rPr>
      <w:i/>
      <w:iCs/>
      <w:color w:val="404040" w:themeColor="text1" w:themeTint="BF"/>
    </w:rPr>
  </w:style>
  <w:style w:type="character" w:customStyle="1" w:styleId="QuoteChar">
    <w:name w:val="Quote Char"/>
    <w:basedOn w:val="DefaultParagraphFont"/>
    <w:link w:val="Quote"/>
    <w:uiPriority w:val="29"/>
    <w:rsid w:val="001B288C"/>
    <w:rPr>
      <w:i/>
      <w:iCs/>
      <w:color w:val="404040" w:themeColor="text1" w:themeTint="BF"/>
    </w:rPr>
  </w:style>
  <w:style w:type="paragraph" w:styleId="ListParagraph">
    <w:name w:val="List Paragraph"/>
    <w:basedOn w:val="Normal"/>
    <w:uiPriority w:val="34"/>
    <w:qFormat/>
    <w:rsid w:val="001B288C"/>
    <w:pPr>
      <w:ind w:left="720"/>
      <w:contextualSpacing/>
    </w:pPr>
  </w:style>
  <w:style w:type="character" w:styleId="IntenseEmphasis">
    <w:name w:val="Intense Emphasis"/>
    <w:basedOn w:val="DefaultParagraphFont"/>
    <w:uiPriority w:val="21"/>
    <w:qFormat/>
    <w:rsid w:val="001B288C"/>
    <w:rPr>
      <w:i/>
      <w:iCs/>
      <w:color w:val="0F4761" w:themeColor="accent1" w:themeShade="BF"/>
    </w:rPr>
  </w:style>
  <w:style w:type="paragraph" w:styleId="IntenseQuote">
    <w:name w:val="Intense Quote"/>
    <w:basedOn w:val="Normal"/>
    <w:next w:val="Normal"/>
    <w:link w:val="IntenseQuoteChar"/>
    <w:uiPriority w:val="30"/>
    <w:qFormat/>
    <w:rsid w:val="001B2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88C"/>
    <w:rPr>
      <w:i/>
      <w:iCs/>
      <w:color w:val="0F4761" w:themeColor="accent1" w:themeShade="BF"/>
    </w:rPr>
  </w:style>
  <w:style w:type="character" w:styleId="IntenseReference">
    <w:name w:val="Intense Reference"/>
    <w:basedOn w:val="DefaultParagraphFont"/>
    <w:uiPriority w:val="32"/>
    <w:qFormat/>
    <w:rsid w:val="001B288C"/>
    <w:rPr>
      <w:b/>
      <w:bCs/>
      <w:smallCaps/>
      <w:color w:val="0F4761" w:themeColor="accent1" w:themeShade="BF"/>
      <w:spacing w:val="5"/>
    </w:rPr>
  </w:style>
  <w:style w:type="character" w:styleId="Hyperlink">
    <w:name w:val="Hyperlink"/>
    <w:basedOn w:val="DefaultParagraphFont"/>
    <w:uiPriority w:val="99"/>
    <w:unhideWhenUsed/>
    <w:rsid w:val="001B288C"/>
    <w:rPr>
      <w:color w:val="467886" w:themeColor="hyperlink"/>
      <w:u w:val="single"/>
    </w:rPr>
  </w:style>
  <w:style w:type="character" w:styleId="UnresolvedMention">
    <w:name w:val="Unresolved Mention"/>
    <w:basedOn w:val="DefaultParagraphFont"/>
    <w:uiPriority w:val="99"/>
    <w:semiHidden/>
    <w:unhideWhenUsed/>
    <w:rsid w:val="001B288C"/>
    <w:rPr>
      <w:color w:val="605E5C"/>
      <w:shd w:val="clear" w:color="auto" w:fill="E1DFDD"/>
    </w:rPr>
  </w:style>
  <w:style w:type="paragraph" w:styleId="HTMLPreformatted">
    <w:name w:val="HTML Preformatted"/>
    <w:basedOn w:val="Normal"/>
    <w:link w:val="HTMLPreformattedChar"/>
    <w:uiPriority w:val="99"/>
    <w:semiHidden/>
    <w:unhideWhenUsed/>
    <w:rsid w:val="001B288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288C"/>
    <w:rPr>
      <w:rFonts w:ascii="Consolas" w:hAnsi="Consolas"/>
      <w:sz w:val="20"/>
      <w:szCs w:val="20"/>
    </w:rPr>
  </w:style>
  <w:style w:type="character" w:styleId="FollowedHyperlink">
    <w:name w:val="FollowedHyperlink"/>
    <w:basedOn w:val="DefaultParagraphFont"/>
    <w:uiPriority w:val="99"/>
    <w:semiHidden/>
    <w:unhideWhenUsed/>
    <w:rsid w:val="001B28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oneyadvisor.com/knowledge-base-podcast/podcast/coplanner-keeping-planning-personalized/" TargetMode="External"/><Relationship Id="rId5" Type="http://schemas.openxmlformats.org/officeDocument/2006/relationships/hyperlink" Target="https://blog.emoneyadvisor.com/product-updates/show-retirement-income-estimates-aligned-with-todays-annuity-assumptions/" TargetMode="External"/><Relationship Id="rId4" Type="http://schemas.openxmlformats.org/officeDocument/2006/relationships/hyperlink" Target="https://emoneyadvisor.com/blog/key-trends-shaping-the-future-of-financial-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1884</Characters>
  <Application>Microsoft Office Word</Application>
  <DocSecurity>0</DocSecurity>
  <Lines>15</Lines>
  <Paragraphs>4</Paragraphs>
  <ScaleCrop>false</ScaleCrop>
  <Company>eMoney Advisor LLC.</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Eisen</dc:creator>
  <cp:keywords/>
  <dc:description/>
  <cp:lastModifiedBy>Sabrina Eisen</cp:lastModifiedBy>
  <cp:revision>1</cp:revision>
  <dcterms:created xsi:type="dcterms:W3CDTF">2026-04-30T15:17:00Z</dcterms:created>
  <dcterms:modified xsi:type="dcterms:W3CDTF">2026-04-30T15:19:00Z</dcterms:modified>
</cp:coreProperties>
</file>