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7F44" w14:textId="77777777" w:rsidR="00B04416" w:rsidRPr="00B04416" w:rsidRDefault="00B04416" w:rsidP="00B04416">
      <w:pPr>
        <w:rPr>
          <w:b/>
          <w:bCs/>
        </w:rPr>
      </w:pPr>
      <w:r>
        <w:rPr>
          <w:b/>
          <w:bCs/>
        </w:rPr>
        <w:t>Subject Line:</w:t>
      </w:r>
      <w:r w:rsidRPr="00B04416">
        <w:t xml:space="preserve"> </w:t>
      </w:r>
      <w:r w:rsidRPr="00B04416">
        <w:t>Home Office News: Using Tech Integrations to Reduce Data Friction in Financial Planning</w:t>
      </w:r>
    </w:p>
    <w:p w14:paraId="3DC21FE0" w14:textId="2E83327D" w:rsidR="00CD0318" w:rsidRDefault="00CD0318">
      <w:pPr>
        <w:rPr>
          <w:b/>
          <w:bCs/>
        </w:rPr>
      </w:pPr>
    </w:p>
    <w:p w14:paraId="01BC00F3" w14:textId="3AF873DE" w:rsidR="00B04416" w:rsidRDefault="00B04416">
      <w:pPr>
        <w:rPr>
          <w:b/>
          <w:bCs/>
        </w:rPr>
      </w:pPr>
      <w:r w:rsidRPr="00B04416">
        <w:rPr>
          <w:b/>
          <w:bCs/>
        </w:rPr>
        <w:t>Using Tech Integrations to Reduce Data Friction in Financial Planning</w:t>
      </w:r>
    </w:p>
    <w:p w14:paraId="06871B68" w14:textId="4AC6514B" w:rsidR="00B04416" w:rsidRDefault="00B04416">
      <w:pPr>
        <w:rPr>
          <w:b/>
          <w:bCs/>
        </w:rPr>
      </w:pPr>
      <w:hyperlink r:id="rId4" w:history="1">
        <w:r w:rsidRPr="00B04416">
          <w:rPr>
            <w:rStyle w:val="Hyperlink"/>
            <w:b/>
            <w:bCs/>
          </w:rPr>
          <w:t>STREAMLINE YOUR PLANNING PROCESS</w:t>
        </w:r>
      </w:hyperlink>
    </w:p>
    <w:p w14:paraId="12C0488F" w14:textId="3B2B6453" w:rsidR="00B04416" w:rsidRDefault="00B04416">
      <w:r w:rsidRPr="00B04416">
        <w:t xml:space="preserve">Streamline data across your planning ecosystem and </w:t>
      </w:r>
      <w:r w:rsidRPr="00B04416">
        <w:rPr>
          <w:b/>
          <w:bCs/>
        </w:rPr>
        <w:t>eliminate one of the greatest sources of inefficiency for advisors:</w:t>
      </w:r>
      <w:r w:rsidRPr="00B04416">
        <w:t xml:space="preserve"> manual, disconnected workflows. Connecting systems like CRM, planning tools, and client portals </w:t>
      </w:r>
      <w:proofErr w:type="gramStart"/>
      <w:r w:rsidRPr="00B04416">
        <w:t>helps</w:t>
      </w:r>
      <w:proofErr w:type="gramEnd"/>
      <w:r w:rsidRPr="00B04416">
        <w:t xml:space="preserve"> eliminate duplicate data entry, streamline onboarding, and support more accurate, compliant plans, making it easier to deliver a seamless planning experience </w:t>
      </w:r>
      <w:proofErr w:type="gramStart"/>
      <w:r w:rsidRPr="00B04416">
        <w:t>at</w:t>
      </w:r>
      <w:proofErr w:type="gramEnd"/>
      <w:r w:rsidRPr="00B04416">
        <w:t xml:space="preserve"> scale.</w:t>
      </w:r>
    </w:p>
    <w:p w14:paraId="0809C55F" w14:textId="77777777" w:rsidR="00B04416" w:rsidRDefault="00B04416"/>
    <w:p w14:paraId="770D7EFF" w14:textId="177ABF24" w:rsidR="00B04416" w:rsidRDefault="00B04416">
      <w:pPr>
        <w:rPr>
          <w:b/>
          <w:bCs/>
        </w:rPr>
      </w:pPr>
      <w:r w:rsidRPr="00B04416">
        <w:rPr>
          <w:b/>
          <w:bCs/>
        </w:rPr>
        <w:t>Product Updates</w:t>
      </w:r>
    </w:p>
    <w:p w14:paraId="0075D070" w14:textId="77777777" w:rsidR="00B04416" w:rsidRPr="00B04416" w:rsidRDefault="00B04416" w:rsidP="00B04416">
      <w:pPr>
        <w:ind w:left="720"/>
      </w:pPr>
      <w:r w:rsidRPr="00B04416">
        <w:rPr>
          <w:b/>
          <w:bCs/>
        </w:rPr>
        <w:t>OUTAGE NOTICE: JULY AND AUGUST 2026</w:t>
      </w:r>
    </w:p>
    <w:p w14:paraId="42C9FA7B" w14:textId="501C2A48" w:rsidR="00B04416" w:rsidRPr="00B04416" w:rsidRDefault="00B04416" w:rsidP="00B04416">
      <w:pPr>
        <w:ind w:left="720"/>
      </w:pPr>
      <w:hyperlink r:id="rId5" w:tgtFrame="_blank" w:history="1">
        <w:r w:rsidRPr="00B04416">
          <w:rPr>
            <w:rStyle w:val="Hyperlink"/>
            <w:b/>
            <w:bCs/>
          </w:rPr>
          <w:t>Plan for a Scheduled Platform Disruption Related to Aggregation Enhancements</w:t>
        </w:r>
      </w:hyperlink>
    </w:p>
    <w:p w14:paraId="2DDF891F" w14:textId="1E20A956" w:rsidR="00B04416" w:rsidRPr="00B04416" w:rsidRDefault="00B04416" w:rsidP="00B04416">
      <w:pPr>
        <w:ind w:left="720"/>
      </w:pPr>
      <w:r w:rsidRPr="00B04416">
        <w:t xml:space="preserve">We will be performing a series of scheduled maintenance activities to support ongoing platform improvements throughout July and August. These updates may result in temporary service interruptions, including brief disruptions as well as a longer planned outage impacting aggregation and Connections. </w:t>
      </w:r>
    </w:p>
    <w:p w14:paraId="739C24C7" w14:textId="4B66DF56" w:rsidR="00B04416" w:rsidRDefault="00B04416" w:rsidP="00B04416">
      <w:pPr>
        <w:ind w:left="720"/>
      </w:pPr>
      <w:r w:rsidRPr="00B04416">
        <w:t xml:space="preserve">For specific timing and details on expected impacts, please </w:t>
      </w:r>
      <w:hyperlink r:id="rId6" w:tgtFrame="_blank" w:history="1">
        <w:r w:rsidRPr="00B04416">
          <w:rPr>
            <w:rStyle w:val="Hyperlink"/>
          </w:rPr>
          <w:t>click here</w:t>
        </w:r>
      </w:hyperlink>
      <w:r w:rsidRPr="00B04416">
        <w:t>.</w:t>
      </w:r>
    </w:p>
    <w:p w14:paraId="4CC2F898" w14:textId="77777777" w:rsidR="00B04416" w:rsidRDefault="00B04416" w:rsidP="00B04416">
      <w:pPr>
        <w:ind w:left="720"/>
      </w:pPr>
    </w:p>
    <w:p w14:paraId="4D52FD29" w14:textId="77777777" w:rsidR="00B04416" w:rsidRPr="00B04416" w:rsidRDefault="00B04416" w:rsidP="00B04416">
      <w:pPr>
        <w:ind w:left="720"/>
      </w:pPr>
      <w:r w:rsidRPr="00B04416">
        <w:rPr>
          <w:b/>
          <w:bCs/>
        </w:rPr>
        <w:t>PRODUCT UPDATE</w:t>
      </w:r>
    </w:p>
    <w:p w14:paraId="03C6F2FA" w14:textId="77777777" w:rsidR="00B04416" w:rsidRPr="00B04416" w:rsidRDefault="00B04416" w:rsidP="00B04416">
      <w:pPr>
        <w:ind w:left="720"/>
      </w:pPr>
      <w:r w:rsidRPr="00B04416">
        <w:rPr>
          <w:b/>
          <w:bCs/>
        </w:rPr>
        <w:t>State Estate and Inheritance Tax Updates</w:t>
      </w:r>
    </w:p>
    <w:p w14:paraId="02641593" w14:textId="77777777" w:rsidR="00B04416" w:rsidRPr="00B04416" w:rsidRDefault="00B04416" w:rsidP="00B04416">
      <w:pPr>
        <w:ind w:left="720"/>
      </w:pPr>
      <w:proofErr w:type="gramStart"/>
      <w:r w:rsidRPr="00B04416">
        <w:t>State estate</w:t>
      </w:r>
      <w:proofErr w:type="gramEnd"/>
      <w:r w:rsidRPr="00B04416">
        <w:t xml:space="preserve"> and inheritance tax assumptions will be updated on June 25 to reflect the latest regulatory changes and annual adjustments. These updates help keep estate and legacy planning projections aligned with the current tax landscape.</w:t>
      </w:r>
    </w:p>
    <w:p w14:paraId="7F6F41FB" w14:textId="77777777" w:rsidR="00B04416" w:rsidRDefault="00B04416" w:rsidP="00B04416">
      <w:pPr>
        <w:ind w:left="720"/>
      </w:pPr>
    </w:p>
    <w:p w14:paraId="44C86149" w14:textId="54380867" w:rsidR="00B04416" w:rsidRDefault="00B04416" w:rsidP="00B04416">
      <w:pPr>
        <w:rPr>
          <w:b/>
          <w:bCs/>
        </w:rPr>
      </w:pPr>
      <w:r w:rsidRPr="00B04416">
        <w:rPr>
          <w:b/>
          <w:bCs/>
        </w:rPr>
        <w:t>Thought Leadership</w:t>
      </w:r>
    </w:p>
    <w:p w14:paraId="15D21864" w14:textId="77777777" w:rsidR="00B04416" w:rsidRPr="00B04416" w:rsidRDefault="00B04416" w:rsidP="00B04416">
      <w:pPr>
        <w:ind w:left="720"/>
      </w:pPr>
      <w:r w:rsidRPr="00B04416">
        <w:rPr>
          <w:b/>
          <w:bCs/>
        </w:rPr>
        <w:t>BLOG</w:t>
      </w:r>
    </w:p>
    <w:p w14:paraId="37FE63E9" w14:textId="28BE45B2" w:rsidR="00B04416" w:rsidRPr="00B04416" w:rsidRDefault="00B04416" w:rsidP="00B04416">
      <w:pPr>
        <w:ind w:left="720"/>
      </w:pPr>
      <w:hyperlink r:id="rId7" w:tgtFrame="_blank" w:history="1">
        <w:r w:rsidRPr="00B04416">
          <w:rPr>
            <w:rStyle w:val="Hyperlink"/>
            <w:b/>
            <w:bCs/>
          </w:rPr>
          <w:t>Using Scenario Analysis to Future-Proof Your Financial Planning</w:t>
        </w:r>
      </w:hyperlink>
    </w:p>
    <w:p w14:paraId="354BA23C" w14:textId="77777777" w:rsidR="00B04416" w:rsidRPr="00B04416" w:rsidRDefault="00B04416" w:rsidP="00B04416">
      <w:pPr>
        <w:ind w:left="720"/>
      </w:pPr>
      <w:r w:rsidRPr="00B04416">
        <w:t>Explore how scenario analysis can strengthen the planning strategies you support across your organization. This article highlights how advisors can model multiple “what if” outcomes to build more resilient, adaptable financial plans, helping them navigate uncertainty with greater confidence.</w:t>
      </w:r>
    </w:p>
    <w:p w14:paraId="19C7E064" w14:textId="77777777" w:rsidR="00B04416" w:rsidRDefault="00B04416" w:rsidP="00B04416">
      <w:pPr>
        <w:ind w:left="720"/>
      </w:pPr>
    </w:p>
    <w:p w14:paraId="4D20C424" w14:textId="77777777" w:rsidR="00B04416" w:rsidRPr="00B04416" w:rsidRDefault="00B04416" w:rsidP="00B04416">
      <w:pPr>
        <w:ind w:left="720"/>
      </w:pPr>
      <w:r w:rsidRPr="00B04416">
        <w:rPr>
          <w:b/>
          <w:bCs/>
        </w:rPr>
        <w:t>BLOG</w:t>
      </w:r>
    </w:p>
    <w:p w14:paraId="7D118978" w14:textId="7D722BF3" w:rsidR="00B04416" w:rsidRPr="00B04416" w:rsidRDefault="00B04416" w:rsidP="00B04416">
      <w:pPr>
        <w:ind w:left="720"/>
      </w:pPr>
      <w:hyperlink r:id="rId8" w:anchor="header-id" w:tgtFrame="_blank" w:history="1">
        <w:r w:rsidRPr="00B04416">
          <w:rPr>
            <w:rStyle w:val="Hyperlink"/>
            <w:b/>
            <w:bCs/>
          </w:rPr>
          <w:t>6 Ways to Scale Financial Planning for Greater Client Impact</w:t>
        </w:r>
      </w:hyperlink>
    </w:p>
    <w:p w14:paraId="24D3AC1E" w14:textId="77777777" w:rsidR="00B04416" w:rsidRDefault="00B04416" w:rsidP="00B04416">
      <w:pPr>
        <w:ind w:left="720"/>
      </w:pPr>
      <w:r w:rsidRPr="00B04416">
        <w:t xml:space="preserve">Discover six practical strategies your advisors can use to scale financial planning without sacrificing quality or personalization. This article highlights structured processes, technology, and engagement techniques that help advisors serve </w:t>
      </w:r>
      <w:proofErr w:type="gramStart"/>
      <w:r w:rsidRPr="00B04416">
        <w:t>more clients</w:t>
      </w:r>
      <w:proofErr w:type="gramEnd"/>
      <w:r w:rsidRPr="00B04416">
        <w:t xml:space="preserve"> efficiently while delivering </w:t>
      </w:r>
      <w:proofErr w:type="gramStart"/>
      <w:r w:rsidRPr="00B04416">
        <w:t>a stronger</w:t>
      </w:r>
      <w:proofErr w:type="gramEnd"/>
      <w:r w:rsidRPr="00B04416">
        <w:t xml:space="preserve"> planning experience.</w:t>
      </w:r>
    </w:p>
    <w:p w14:paraId="432B3514" w14:textId="77777777" w:rsidR="00B04416" w:rsidRPr="00B04416" w:rsidRDefault="00B04416" w:rsidP="00B04416"/>
    <w:p w14:paraId="3683D2AF" w14:textId="77777777" w:rsidR="00B04416" w:rsidRPr="00B04416" w:rsidRDefault="00B04416" w:rsidP="00B04416">
      <w:r w:rsidRPr="00B04416">
        <w:rPr>
          <w:b/>
          <w:bCs/>
        </w:rPr>
        <w:t>SUMMIT</w:t>
      </w:r>
    </w:p>
    <w:p w14:paraId="1023BA48" w14:textId="20D9160D" w:rsidR="00B04416" w:rsidRPr="00B04416" w:rsidRDefault="00B04416" w:rsidP="00B04416">
      <w:hyperlink r:id="rId9" w:tgtFrame="_blank" w:history="1">
        <w:proofErr w:type="spellStart"/>
        <w:r w:rsidRPr="00B04416">
          <w:rPr>
            <w:rStyle w:val="Hyperlink"/>
            <w:b/>
            <w:bCs/>
          </w:rPr>
          <w:t>eMoney</w:t>
        </w:r>
        <w:proofErr w:type="spellEnd"/>
        <w:r w:rsidRPr="00B04416">
          <w:rPr>
            <w:rStyle w:val="Hyperlink"/>
            <w:b/>
            <w:bCs/>
          </w:rPr>
          <w:t xml:space="preserve"> Summit Registration Is Live</w:t>
        </w:r>
      </w:hyperlink>
    </w:p>
    <w:p w14:paraId="428640EB" w14:textId="757B6D7B" w:rsidR="00B04416" w:rsidRPr="00B04416" w:rsidRDefault="00B04416" w:rsidP="00B04416">
      <w:r w:rsidRPr="00B04416">
        <w:t xml:space="preserve">Registration is officially open for the virtual 2026 </w:t>
      </w:r>
      <w:proofErr w:type="spellStart"/>
      <w:r w:rsidRPr="00B04416">
        <w:t>eMoney</w:t>
      </w:r>
      <w:proofErr w:type="spellEnd"/>
      <w:r w:rsidRPr="00B04416">
        <w:t xml:space="preserve"> Summit, happening </w:t>
      </w:r>
      <w:r w:rsidRPr="00B04416">
        <w:rPr>
          <w:b/>
          <w:bCs/>
        </w:rPr>
        <w:t>October 19-21</w:t>
      </w:r>
      <w:r w:rsidRPr="00B04416">
        <w:t xml:space="preserve">! This year’s theme, </w:t>
      </w:r>
      <w:r w:rsidRPr="00B04416">
        <w:rPr>
          <w:i/>
          <w:iCs/>
        </w:rPr>
        <w:t>Powering What’s Possible</w:t>
      </w:r>
      <w:r w:rsidRPr="00B04416">
        <w:t>, celebrates the essential role your advisors play in helping clients navigate complexity, deepen relationships, and move forward with confidence. </w:t>
      </w:r>
    </w:p>
    <w:p w14:paraId="3375581B" w14:textId="2B5D8C27" w:rsidR="00B04416" w:rsidRPr="00B04416" w:rsidRDefault="00B04416" w:rsidP="00B04416">
      <w:r w:rsidRPr="00B04416">
        <w:t xml:space="preserve">If you would like to explore Firm pricing, contact </w:t>
      </w:r>
      <w:hyperlink r:id="rId10" w:tgtFrame="_blank" w:history="1">
        <w:r w:rsidRPr="00B04416">
          <w:rPr>
            <w:rStyle w:val="Hyperlink"/>
          </w:rPr>
          <w:t>advisorsummit@emoneyadvisor.com</w:t>
        </w:r>
      </w:hyperlink>
      <w:r w:rsidRPr="00B04416">
        <w:t>.</w:t>
      </w:r>
    </w:p>
    <w:p w14:paraId="47AC61EC" w14:textId="77777777" w:rsidR="00B04416" w:rsidRPr="00B04416" w:rsidRDefault="00B04416" w:rsidP="00B04416"/>
    <w:p w14:paraId="298299DC" w14:textId="77777777" w:rsidR="00B04416" w:rsidRPr="00B04416" w:rsidRDefault="00B04416"/>
    <w:sectPr w:rsidR="00B04416" w:rsidRPr="00B04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16"/>
    <w:rsid w:val="003507A4"/>
    <w:rsid w:val="00917461"/>
    <w:rsid w:val="00B04416"/>
    <w:rsid w:val="00CD0318"/>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0B53"/>
  <w15:chartTrackingRefBased/>
  <w15:docId w15:val="{0FA7E594-DC97-4F9C-BA23-B4F4310C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416"/>
    <w:rPr>
      <w:rFonts w:eastAsiaTheme="majorEastAsia" w:cstheme="majorBidi"/>
      <w:color w:val="272727" w:themeColor="text1" w:themeTint="D8"/>
    </w:rPr>
  </w:style>
  <w:style w:type="paragraph" w:styleId="Title">
    <w:name w:val="Title"/>
    <w:basedOn w:val="Normal"/>
    <w:next w:val="Normal"/>
    <w:link w:val="TitleChar"/>
    <w:uiPriority w:val="10"/>
    <w:qFormat/>
    <w:rsid w:val="00B04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416"/>
    <w:pPr>
      <w:spacing w:before="160"/>
      <w:jc w:val="center"/>
    </w:pPr>
    <w:rPr>
      <w:i/>
      <w:iCs/>
      <w:color w:val="404040" w:themeColor="text1" w:themeTint="BF"/>
    </w:rPr>
  </w:style>
  <w:style w:type="character" w:customStyle="1" w:styleId="QuoteChar">
    <w:name w:val="Quote Char"/>
    <w:basedOn w:val="DefaultParagraphFont"/>
    <w:link w:val="Quote"/>
    <w:uiPriority w:val="29"/>
    <w:rsid w:val="00B04416"/>
    <w:rPr>
      <w:i/>
      <w:iCs/>
      <w:color w:val="404040" w:themeColor="text1" w:themeTint="BF"/>
    </w:rPr>
  </w:style>
  <w:style w:type="paragraph" w:styleId="ListParagraph">
    <w:name w:val="List Paragraph"/>
    <w:basedOn w:val="Normal"/>
    <w:uiPriority w:val="34"/>
    <w:qFormat/>
    <w:rsid w:val="00B04416"/>
    <w:pPr>
      <w:ind w:left="720"/>
      <w:contextualSpacing/>
    </w:pPr>
  </w:style>
  <w:style w:type="character" w:styleId="IntenseEmphasis">
    <w:name w:val="Intense Emphasis"/>
    <w:basedOn w:val="DefaultParagraphFont"/>
    <w:uiPriority w:val="21"/>
    <w:qFormat/>
    <w:rsid w:val="00B04416"/>
    <w:rPr>
      <w:i/>
      <w:iCs/>
      <w:color w:val="0F4761" w:themeColor="accent1" w:themeShade="BF"/>
    </w:rPr>
  </w:style>
  <w:style w:type="paragraph" w:styleId="IntenseQuote">
    <w:name w:val="Intense Quote"/>
    <w:basedOn w:val="Normal"/>
    <w:next w:val="Normal"/>
    <w:link w:val="IntenseQuoteChar"/>
    <w:uiPriority w:val="30"/>
    <w:qFormat/>
    <w:rsid w:val="00B04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416"/>
    <w:rPr>
      <w:i/>
      <w:iCs/>
      <w:color w:val="0F4761" w:themeColor="accent1" w:themeShade="BF"/>
    </w:rPr>
  </w:style>
  <w:style w:type="character" w:styleId="IntenseReference">
    <w:name w:val="Intense Reference"/>
    <w:basedOn w:val="DefaultParagraphFont"/>
    <w:uiPriority w:val="32"/>
    <w:qFormat/>
    <w:rsid w:val="00B04416"/>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B044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4416"/>
    <w:rPr>
      <w:rFonts w:ascii="Consolas" w:hAnsi="Consolas"/>
      <w:sz w:val="20"/>
      <w:szCs w:val="20"/>
    </w:rPr>
  </w:style>
  <w:style w:type="character" w:styleId="Hyperlink">
    <w:name w:val="Hyperlink"/>
    <w:basedOn w:val="DefaultParagraphFont"/>
    <w:uiPriority w:val="99"/>
    <w:unhideWhenUsed/>
    <w:rsid w:val="00B04416"/>
    <w:rPr>
      <w:color w:val="467886" w:themeColor="hyperlink"/>
      <w:u w:val="single"/>
    </w:rPr>
  </w:style>
  <w:style w:type="character" w:styleId="UnresolvedMention">
    <w:name w:val="Unresolved Mention"/>
    <w:basedOn w:val="DefaultParagraphFont"/>
    <w:uiPriority w:val="99"/>
    <w:semiHidden/>
    <w:unhideWhenUsed/>
    <w:rsid w:val="00B04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neyadvisor.com/blog/6-ways-to-scale-financial-planning-for-greater-client-impact/" TargetMode="External"/><Relationship Id="rId3" Type="http://schemas.openxmlformats.org/officeDocument/2006/relationships/webSettings" Target="webSettings.xml"/><Relationship Id="rId7" Type="http://schemas.openxmlformats.org/officeDocument/2006/relationships/hyperlink" Target="https://emoneyadvisor.com/blog/using-scenario-analysis-to-future-proof-your-financial-plann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emoneyadvisor.com/product-updates/upcoming-platform-maintenance-and-service-interruptions/" TargetMode="External"/><Relationship Id="rId11" Type="http://schemas.openxmlformats.org/officeDocument/2006/relationships/fontTable" Target="fontTable.xml"/><Relationship Id="rId5" Type="http://schemas.openxmlformats.org/officeDocument/2006/relationships/hyperlink" Target="https://blog.emoneyadvisor.com/product-updates/upcoming-platform-maintenance-and-service-interruptions/" TargetMode="External"/><Relationship Id="rId10" Type="http://schemas.openxmlformats.org/officeDocument/2006/relationships/hyperlink" Target="mailto:advisorsummit@emoneyadvisor.com" TargetMode="External"/><Relationship Id="rId4" Type="http://schemas.openxmlformats.org/officeDocument/2006/relationships/hyperlink" Target="https://emoneyadvisor.com/blog/using-tech-integrations-to-reduce-data-friction-in-financial-planning/" TargetMode="External"/><Relationship Id="rId9" Type="http://schemas.openxmlformats.org/officeDocument/2006/relationships/hyperlink" Target="https://emoneyadvisor.com/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2863</Characters>
  <Application>Microsoft Office Word</Application>
  <DocSecurity>0</DocSecurity>
  <Lines>81</Lines>
  <Paragraphs>56</Paragraphs>
  <ScaleCrop>false</ScaleCrop>
  <Company>eMoney Advisor LLC.</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2026-07-21T13:47:00Z</dcterms:created>
  <dcterms:modified xsi:type="dcterms:W3CDTF">2026-07-21T13:51:00Z</dcterms:modified>
</cp:coreProperties>
</file>